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auto"/>
          <w:sz w:val="44"/>
          <w:szCs w:val="44"/>
          <w:lang w:eastAsia="zh-CN"/>
        </w:rPr>
      </w:pPr>
    </w:p>
    <w:p>
      <w:pPr>
        <w:rPr>
          <w:rFonts w:hint="default" w:ascii="Times New Roman" w:hAnsi="Times New Roman" w:eastAsia="仿宋_GB2312" w:cs="Times New Roman"/>
          <w:color w:val="auto"/>
          <w:sz w:val="36"/>
          <w:szCs w:val="36"/>
        </w:rPr>
      </w:pPr>
    </w:p>
    <w:p>
      <w:pPr>
        <w:adjustRightInd w:val="0"/>
        <w:snapToGrid w:val="0"/>
        <w:ind w:left="-5" w:leftChars="0" w:firstLine="5" w:firstLineChars="0"/>
        <w:jc w:val="center"/>
        <w:outlineLvl w:val="0"/>
        <w:rPr>
          <w:rFonts w:hint="default" w:ascii="Times New Roman" w:hAnsi="Times New Roman" w:eastAsia="方正小标宋_GBK" w:cs="Times New Roman"/>
          <w:bCs/>
          <w:color w:val="auto"/>
          <w:sz w:val="56"/>
          <w:szCs w:val="56"/>
        </w:rPr>
      </w:pPr>
      <w:bookmarkStart w:id="0" w:name="_Toc5484"/>
      <w:bookmarkStart w:id="1" w:name="_Toc29113"/>
      <w:bookmarkStart w:id="2" w:name="_Toc22331"/>
      <w:r>
        <w:rPr>
          <w:rFonts w:hint="default" w:ascii="Times New Roman" w:hAnsi="Times New Roman" w:eastAsia="方正小标宋_GBK" w:cs="Times New Roman"/>
          <w:bCs/>
          <w:color w:val="auto"/>
          <w:sz w:val="56"/>
          <w:szCs w:val="56"/>
        </w:rPr>
        <w:t>建设项目环境影响报告表</w:t>
      </w:r>
      <w:bookmarkEnd w:id="0"/>
      <w:bookmarkEnd w:id="1"/>
      <w:bookmarkEnd w:id="2"/>
    </w:p>
    <w:p>
      <w:pPr>
        <w:adjustRightInd w:val="0"/>
        <w:snapToGrid w:val="0"/>
        <w:spacing w:before="192" w:beforeLines="80"/>
        <w:ind w:left="0" w:leftChars="0" w:firstLine="0" w:firstLineChars="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adjustRightInd w:val="0"/>
        <w:snapToGrid w:val="0"/>
        <w:spacing w:line="800" w:lineRule="exact"/>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b/>
          <w:bCs/>
          <w:color w:val="auto"/>
          <w:sz w:val="36"/>
          <w:szCs w:val="36"/>
          <w:lang w:bidi="ar"/>
        </w:rPr>
        <w:t>项目名称：</w:t>
      </w:r>
      <w:r>
        <w:rPr>
          <w:rFonts w:hint="default" w:ascii="Times New Roman" w:hAnsi="Times New Roman" w:eastAsia="仿宋_GB2312" w:cs="Times New Roman"/>
          <w:color w:val="auto"/>
          <w:sz w:val="36"/>
          <w:szCs w:val="36"/>
          <w:u w:val="single"/>
          <w:lang w:eastAsia="zh-CN" w:bidi="ar"/>
        </w:rPr>
        <w:t>云南鑫多新型材料有限公司年产55万㎡中空玻璃改扩建项目</w:t>
      </w:r>
    </w:p>
    <w:p>
      <w:pPr>
        <w:adjustRightInd w:val="0"/>
        <w:snapToGrid w:val="0"/>
        <w:spacing w:line="800" w:lineRule="exact"/>
        <w:rPr>
          <w:rFonts w:hint="default" w:ascii="Times New Roman" w:hAnsi="Times New Roman" w:eastAsia="仿宋_GB2312" w:cs="Times New Roman"/>
          <w:color w:val="auto"/>
          <w:sz w:val="36"/>
          <w:szCs w:val="36"/>
          <w:u w:val="single"/>
          <w:lang w:eastAsia="zh-CN"/>
        </w:rPr>
      </w:pPr>
      <w:r>
        <w:rPr>
          <w:rFonts w:hint="default" w:ascii="Times New Roman" w:hAnsi="Times New Roman" w:eastAsia="仿宋_GB2312" w:cs="Times New Roman"/>
          <w:b/>
          <w:bCs/>
          <w:color w:val="auto"/>
          <w:sz w:val="36"/>
          <w:szCs w:val="36"/>
          <w:lang w:bidi="ar"/>
        </w:rPr>
        <w:t>建设单位（盖章）</w:t>
      </w:r>
      <w:r>
        <w:rPr>
          <w:rFonts w:hint="default" w:ascii="Times New Roman" w:hAnsi="Times New Roman" w:eastAsia="仿宋_GB2312" w:cs="Times New Roman"/>
          <w:color w:val="auto"/>
          <w:sz w:val="36"/>
          <w:szCs w:val="36"/>
          <w:lang w:bidi="ar"/>
        </w:rPr>
        <w:t>：</w:t>
      </w:r>
      <w:r>
        <w:rPr>
          <w:rFonts w:hint="default" w:ascii="Times New Roman" w:hAnsi="Times New Roman" w:eastAsia="仿宋_GB2312" w:cs="Times New Roman"/>
          <w:color w:val="auto"/>
          <w:sz w:val="36"/>
          <w:szCs w:val="36"/>
          <w:u w:val="single"/>
          <w:lang w:eastAsia="zh-CN" w:bidi="ar"/>
        </w:rPr>
        <w:t>云南鑫多新型材料有限公司</w:t>
      </w:r>
    </w:p>
    <w:p>
      <w:pPr>
        <w:adjustRightInd w:val="0"/>
        <w:snapToGrid w:val="0"/>
        <w:spacing w:line="800" w:lineRule="exact"/>
        <w:rPr>
          <w:rFonts w:hint="default" w:ascii="Times New Roman" w:hAnsi="Times New Roman" w:eastAsia="仿宋_GB2312" w:cs="Times New Roman"/>
          <w:color w:val="auto"/>
          <w:sz w:val="36"/>
          <w:szCs w:val="36"/>
          <w:u w:val="single"/>
          <w:lang w:eastAsia="zh-CN"/>
        </w:rPr>
      </w:pPr>
      <w:r>
        <w:rPr>
          <w:rFonts w:hint="default" w:ascii="Times New Roman" w:hAnsi="Times New Roman" w:eastAsia="仿宋_GB2312" w:cs="Times New Roman"/>
          <w:b/>
          <w:bCs/>
          <w:color w:val="auto"/>
          <w:sz w:val="36"/>
          <w:szCs w:val="36"/>
          <w:lang w:bidi="ar"/>
        </w:rPr>
        <w:t>编制日期：</w:t>
      </w:r>
      <w:r>
        <w:rPr>
          <w:rFonts w:hint="default" w:ascii="Times New Roman" w:hAnsi="Times New Roman" w:eastAsia="仿宋_GB2312" w:cs="Times New Roman"/>
          <w:color w:val="auto"/>
          <w:sz w:val="36"/>
          <w:szCs w:val="36"/>
          <w:u w:val="single"/>
          <w:lang w:bidi="ar"/>
        </w:rPr>
        <w:t>202</w:t>
      </w:r>
      <w:r>
        <w:rPr>
          <w:rFonts w:hint="default" w:ascii="Times New Roman" w:hAnsi="Times New Roman" w:eastAsia="仿宋_GB2312" w:cs="Times New Roman"/>
          <w:color w:val="auto"/>
          <w:sz w:val="36"/>
          <w:szCs w:val="36"/>
          <w:u w:val="single"/>
          <w:lang w:val="en-US" w:eastAsia="zh-CN" w:bidi="ar"/>
        </w:rPr>
        <w:t>4</w:t>
      </w:r>
      <w:r>
        <w:rPr>
          <w:rFonts w:hint="default" w:ascii="Times New Roman" w:hAnsi="Times New Roman" w:eastAsia="仿宋_GB2312" w:cs="Times New Roman"/>
          <w:color w:val="auto"/>
          <w:sz w:val="36"/>
          <w:szCs w:val="36"/>
          <w:u w:val="single"/>
          <w:lang w:bidi="ar"/>
        </w:rPr>
        <w:t>年</w:t>
      </w:r>
      <w:r>
        <w:rPr>
          <w:rFonts w:hint="default" w:ascii="Times New Roman" w:hAnsi="Times New Roman" w:eastAsia="仿宋_GB2312" w:cs="Times New Roman"/>
          <w:color w:val="auto"/>
          <w:sz w:val="36"/>
          <w:szCs w:val="36"/>
          <w:u w:val="single"/>
          <w:lang w:val="en-US" w:eastAsia="zh-CN" w:bidi="ar"/>
        </w:rPr>
        <w:t>4</w:t>
      </w:r>
      <w:r>
        <w:rPr>
          <w:rFonts w:hint="default" w:ascii="Times New Roman" w:hAnsi="Times New Roman" w:eastAsia="仿宋_GB2312" w:cs="Times New Roman"/>
          <w:color w:val="auto"/>
          <w:sz w:val="36"/>
          <w:szCs w:val="36"/>
          <w:u w:val="single"/>
          <w:lang w:bidi="ar"/>
        </w:rPr>
        <w:t>月</w:t>
      </w:r>
    </w:p>
    <w:p>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3" w:name="_Hlk57884087"/>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bookmarkEnd w:id="3"/>
    <w:p>
      <w:pPr>
        <w:adjustRightInd w:val="0"/>
        <w:snapToGrid w:val="0"/>
        <w:spacing w:line="288" w:lineRule="auto"/>
        <w:jc w:val="center"/>
        <w:rPr>
          <w:rFonts w:hint="default" w:ascii="Times New Roman" w:hAnsi="Times New Roman" w:eastAsia="楷体_GB2312" w:cs="Times New Roman"/>
          <w:color w:val="auto"/>
          <w:sz w:val="36"/>
          <w:szCs w:val="36"/>
          <w:lang w:eastAsia="zh-CN"/>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fmt="upperRoman" w:start="3"/>
          <w:cols w:space="720" w:num="1"/>
          <w:docGrid w:linePitch="312" w:charSpace="0"/>
        </w:sectPr>
      </w:pPr>
      <w:r>
        <w:rPr>
          <w:rFonts w:hint="default" w:ascii="Times New Roman" w:hAnsi="Times New Roman" w:eastAsia="楷体_GB2312" w:cs="Times New Roman"/>
          <w:color w:val="auto"/>
          <w:sz w:val="36"/>
          <w:szCs w:val="36"/>
        </w:rPr>
        <w:t>中华人民共和国生态环境部制</w:t>
      </w:r>
    </w:p>
    <w:p>
      <w:pPr>
        <w:rPr>
          <w:rFonts w:hint="default" w:ascii="Times New Roman" w:hAnsi="Times New Roman" w:cs="Times New Roman"/>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upperRoman" w:start="3"/>
          <w:cols w:space="720" w:num="1"/>
          <w:docGrid w:linePitch="312" w:charSpace="0"/>
        </w:sectPr>
      </w:pPr>
    </w:p>
    <w:sdt>
      <w:sdtPr>
        <w:rPr>
          <w:rFonts w:hint="default" w:ascii="Times New Roman" w:hAnsi="Times New Roman" w:eastAsia="宋体" w:cs="Times New Roman"/>
          <w:color w:val="auto"/>
          <w:kern w:val="2"/>
          <w:sz w:val="21"/>
          <w:szCs w:val="24"/>
          <w:lang w:val="en-US" w:eastAsia="zh-CN" w:bidi="ar-SA"/>
        </w:rPr>
        <w:id w:val="147476040"/>
        <w15:color w:val="DBDBDB"/>
        <w:docPartObj>
          <w:docPartGallery w:val="Table of Contents"/>
          <w:docPartUnique/>
        </w:docPartObj>
      </w:sdtPr>
      <w:sdtEndPr>
        <w:rPr>
          <w:rFonts w:hint="default" w:ascii="Times New Roman" w:hAnsi="Times New Roman" w:eastAsia="宋体" w:cs="Times New Roman"/>
          <w:color w:val="auto"/>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color w:val="auto"/>
              <w:sz w:val="28"/>
              <w:szCs w:val="28"/>
            </w:rPr>
          </w:pPr>
          <w:r>
            <w:rPr>
              <w:rFonts w:hint="default" w:ascii="Times New Roman" w:hAnsi="Times New Roman" w:eastAsia="宋体" w:cs="Times New Roman"/>
              <w:color w:val="auto"/>
              <w:sz w:val="28"/>
              <w:szCs w:val="28"/>
            </w:rPr>
            <w:t>目录</w:t>
          </w:r>
        </w:p>
        <w:p>
          <w:pPr>
            <w:pStyle w:val="22"/>
            <w:tabs>
              <w:tab w:val="right" w:leader="dot" w:pos="8844"/>
            </w:tabs>
            <w:rPr>
              <w:rFonts w:hint="default" w:ascii="Times New Roman" w:hAnsi="Times New Roman" w:cs="Times New Roman"/>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"1-1" \h \u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_Toc5484 </w:instrText>
          </w:r>
          <w:r>
            <w:rPr>
              <w:rFonts w:hint="default" w:ascii="Times New Roman" w:hAnsi="Times New Roman" w:eastAsia="宋体" w:cs="Times New Roman"/>
              <w:szCs w:val="24"/>
            </w:rPr>
            <w:fldChar w:fldCharType="separate"/>
          </w:r>
          <w:r>
            <w:rPr>
              <w:rFonts w:hint="default" w:ascii="Times New Roman" w:hAnsi="Times New Roman" w:eastAsia="方正小标宋_GBK" w:cs="Times New Roman"/>
              <w:bCs/>
              <w:szCs w:val="56"/>
            </w:rPr>
            <w:t>建设项目环境影响报告表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_Toc5484 \h </w:instrText>
          </w:r>
          <w:r>
            <w:rPr>
              <w:rFonts w:hint="default" w:ascii="Times New Roman" w:hAnsi="Times New Roman" w:cs="Times New Roman"/>
            </w:rPr>
            <w:fldChar w:fldCharType="separate"/>
          </w:r>
          <w:r>
            <w:rPr>
              <w:rFonts w:hint="default" w:ascii="Times New Roman" w:hAnsi="Times New Roman" w:cs="Times New Roman"/>
            </w:rPr>
            <w:t>III</w:t>
          </w:r>
          <w:r>
            <w:rPr>
              <w:rFonts w:hint="default" w:ascii="Times New Roman" w:hAnsi="Times New Roman" w:cs="Times New Roman"/>
            </w:rPr>
            <w:fldChar w:fldCharType="end"/>
          </w:r>
          <w:r>
            <w:rPr>
              <w:rFonts w:hint="default" w:ascii="Times New Roman" w:hAnsi="Times New Roman" w:eastAsia="宋体" w:cs="Times New Roman"/>
              <w:color w:val="auto"/>
              <w:szCs w:val="24"/>
            </w:rPr>
            <w:fldChar w:fldCharType="end"/>
          </w:r>
        </w:p>
        <w:p>
          <w:pPr>
            <w:pStyle w:val="22"/>
            <w:tabs>
              <w:tab w:val="right" w:leader="dot" w:pos="8844"/>
            </w:tabs>
            <w:rPr>
              <w:rFonts w:hint="default" w:ascii="Times New Roman" w:hAnsi="Times New Roman" w:cs="Times New Roman"/>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_Toc18159 </w:instrText>
          </w:r>
          <w:r>
            <w:rPr>
              <w:rFonts w:hint="default" w:ascii="Times New Roman" w:hAnsi="Times New Roman" w:eastAsia="宋体" w:cs="Times New Roman"/>
              <w:szCs w:val="24"/>
            </w:rPr>
            <w:fldChar w:fldCharType="separate"/>
          </w:r>
          <w:r>
            <w:rPr>
              <w:rFonts w:hint="default" w:ascii="Times New Roman" w:hAnsi="Times New Roman" w:eastAsia="黑体" w:cs="Times New Roman"/>
              <w:snapToGrid w:val="0"/>
              <w:szCs w:val="30"/>
              <w:lang w:val="en-US" w:eastAsia="zh-CN"/>
            </w:rPr>
            <w:t>一、</w:t>
          </w:r>
          <w:r>
            <w:rPr>
              <w:rFonts w:hint="default" w:ascii="Times New Roman" w:hAnsi="Times New Roman" w:eastAsia="黑体" w:cs="Times New Roman"/>
              <w:snapToGrid w:val="0"/>
              <w:szCs w:val="30"/>
            </w:rPr>
            <w:t>建设项目基本情况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_Toc18159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宋体" w:cs="Times New Roman"/>
              <w:color w:val="auto"/>
              <w:szCs w:val="24"/>
            </w:rPr>
            <w:fldChar w:fldCharType="end"/>
          </w:r>
        </w:p>
        <w:p>
          <w:pPr>
            <w:pStyle w:val="22"/>
            <w:tabs>
              <w:tab w:val="right" w:leader="dot" w:pos="8844"/>
            </w:tabs>
            <w:rPr>
              <w:rFonts w:hint="default" w:ascii="Times New Roman" w:hAnsi="Times New Roman" w:cs="Times New Roman"/>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_Toc1758 </w:instrText>
          </w:r>
          <w:r>
            <w:rPr>
              <w:rFonts w:hint="default" w:ascii="Times New Roman" w:hAnsi="Times New Roman" w:eastAsia="宋体" w:cs="Times New Roman"/>
              <w:szCs w:val="24"/>
            </w:rPr>
            <w:fldChar w:fldCharType="separate"/>
          </w:r>
          <w:r>
            <w:rPr>
              <w:rFonts w:hint="default" w:ascii="Times New Roman" w:hAnsi="Times New Roman" w:eastAsia="黑体" w:cs="Times New Roman"/>
              <w:snapToGrid w:val="0"/>
              <w:szCs w:val="30"/>
            </w:rPr>
            <w:t>二、建设项目工程分析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_Toc1758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eastAsia="宋体" w:cs="Times New Roman"/>
              <w:color w:val="auto"/>
              <w:szCs w:val="24"/>
            </w:rPr>
            <w:fldChar w:fldCharType="end"/>
          </w:r>
        </w:p>
        <w:p>
          <w:pPr>
            <w:pStyle w:val="22"/>
            <w:tabs>
              <w:tab w:val="right" w:leader="dot" w:pos="8844"/>
            </w:tabs>
            <w:rPr>
              <w:rFonts w:hint="default" w:ascii="Times New Roman" w:hAnsi="Times New Roman" w:cs="Times New Roman"/>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_Toc27359 </w:instrText>
          </w:r>
          <w:r>
            <w:rPr>
              <w:rFonts w:hint="default" w:ascii="Times New Roman" w:hAnsi="Times New Roman" w:eastAsia="宋体" w:cs="Times New Roman"/>
              <w:szCs w:val="24"/>
            </w:rPr>
            <w:fldChar w:fldCharType="separate"/>
          </w:r>
          <w:r>
            <w:rPr>
              <w:rFonts w:hint="default" w:ascii="Times New Roman" w:hAnsi="Times New Roman" w:eastAsia="黑体" w:cs="Times New Roman"/>
              <w:snapToGrid w:val="0"/>
              <w:szCs w:val="30"/>
            </w:rPr>
            <w:t>三、区域环境质量现状、环境保护目标及评价标准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_Toc27359 \h </w:instrText>
          </w:r>
          <w:r>
            <w:rPr>
              <w:rFonts w:hint="default" w:ascii="Times New Roman" w:hAnsi="Times New Roman" w:cs="Times New Roman"/>
            </w:rPr>
            <w:fldChar w:fldCharType="separate"/>
          </w:r>
          <w:r>
            <w:rPr>
              <w:rFonts w:hint="default" w:ascii="Times New Roman" w:hAnsi="Times New Roman" w:cs="Times New Roman"/>
            </w:rPr>
            <w:t>56</w:t>
          </w:r>
          <w:r>
            <w:rPr>
              <w:rFonts w:hint="default" w:ascii="Times New Roman" w:hAnsi="Times New Roman" w:cs="Times New Roman"/>
            </w:rPr>
            <w:fldChar w:fldCharType="end"/>
          </w:r>
          <w:r>
            <w:rPr>
              <w:rFonts w:hint="default" w:ascii="Times New Roman" w:hAnsi="Times New Roman" w:eastAsia="宋体" w:cs="Times New Roman"/>
              <w:color w:val="auto"/>
              <w:szCs w:val="24"/>
            </w:rPr>
            <w:fldChar w:fldCharType="end"/>
          </w:r>
        </w:p>
        <w:p>
          <w:pPr>
            <w:pStyle w:val="22"/>
            <w:tabs>
              <w:tab w:val="right" w:leader="dot" w:pos="8844"/>
            </w:tabs>
            <w:rPr>
              <w:rFonts w:hint="default" w:ascii="Times New Roman" w:hAnsi="Times New Roman" w:cs="Times New Roman"/>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_Toc12262 </w:instrText>
          </w:r>
          <w:r>
            <w:rPr>
              <w:rFonts w:hint="default" w:ascii="Times New Roman" w:hAnsi="Times New Roman" w:eastAsia="宋体" w:cs="Times New Roman"/>
              <w:szCs w:val="24"/>
            </w:rPr>
            <w:fldChar w:fldCharType="separate"/>
          </w:r>
          <w:r>
            <w:rPr>
              <w:rFonts w:hint="default" w:ascii="Times New Roman" w:hAnsi="Times New Roman" w:eastAsia="黑体" w:cs="Times New Roman"/>
              <w:snapToGrid w:val="0"/>
              <w:szCs w:val="30"/>
            </w:rPr>
            <w:t>四、主要环境影响和保护措施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_Toc12262 \h </w:instrText>
          </w:r>
          <w:r>
            <w:rPr>
              <w:rFonts w:hint="default" w:ascii="Times New Roman" w:hAnsi="Times New Roman" w:cs="Times New Roman"/>
            </w:rPr>
            <w:fldChar w:fldCharType="separate"/>
          </w:r>
          <w:r>
            <w:rPr>
              <w:rFonts w:hint="default" w:ascii="Times New Roman" w:hAnsi="Times New Roman" w:cs="Times New Roman"/>
            </w:rPr>
            <w:t>65</w:t>
          </w:r>
          <w:r>
            <w:rPr>
              <w:rFonts w:hint="default" w:ascii="Times New Roman" w:hAnsi="Times New Roman" w:cs="Times New Roman"/>
            </w:rPr>
            <w:fldChar w:fldCharType="end"/>
          </w:r>
          <w:r>
            <w:rPr>
              <w:rFonts w:hint="default" w:ascii="Times New Roman" w:hAnsi="Times New Roman" w:eastAsia="宋体" w:cs="Times New Roman"/>
              <w:color w:val="auto"/>
              <w:szCs w:val="24"/>
            </w:rPr>
            <w:fldChar w:fldCharType="end"/>
          </w:r>
        </w:p>
        <w:p>
          <w:pPr>
            <w:pStyle w:val="22"/>
            <w:tabs>
              <w:tab w:val="right" w:leader="dot" w:pos="8844"/>
            </w:tabs>
            <w:rPr>
              <w:rFonts w:hint="default" w:ascii="Times New Roman" w:hAnsi="Times New Roman" w:cs="Times New Roman"/>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_Toc14430 </w:instrText>
          </w:r>
          <w:r>
            <w:rPr>
              <w:rFonts w:hint="default" w:ascii="Times New Roman" w:hAnsi="Times New Roman" w:eastAsia="宋体" w:cs="Times New Roman"/>
              <w:szCs w:val="24"/>
            </w:rPr>
            <w:fldChar w:fldCharType="separate"/>
          </w:r>
          <w:r>
            <w:rPr>
              <w:rFonts w:hint="default" w:ascii="Times New Roman" w:hAnsi="Times New Roman" w:eastAsia="黑体" w:cs="Times New Roman"/>
              <w:snapToGrid w:val="0"/>
              <w:szCs w:val="30"/>
            </w:rPr>
            <w:t>五、环境保护措施监督检查清单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_Toc14430 \h </w:instrText>
          </w:r>
          <w:r>
            <w:rPr>
              <w:rFonts w:hint="default" w:ascii="Times New Roman" w:hAnsi="Times New Roman" w:cs="Times New Roman"/>
            </w:rPr>
            <w:fldChar w:fldCharType="separate"/>
          </w:r>
          <w:r>
            <w:rPr>
              <w:rFonts w:hint="default" w:ascii="Times New Roman" w:hAnsi="Times New Roman" w:cs="Times New Roman"/>
            </w:rPr>
            <w:t>95</w:t>
          </w:r>
          <w:r>
            <w:rPr>
              <w:rFonts w:hint="default" w:ascii="Times New Roman" w:hAnsi="Times New Roman" w:cs="Times New Roman"/>
            </w:rPr>
            <w:fldChar w:fldCharType="end"/>
          </w:r>
          <w:r>
            <w:rPr>
              <w:rFonts w:hint="default" w:ascii="Times New Roman" w:hAnsi="Times New Roman" w:eastAsia="宋体" w:cs="Times New Roman"/>
              <w:color w:val="auto"/>
              <w:szCs w:val="24"/>
            </w:rPr>
            <w:fldChar w:fldCharType="end"/>
          </w:r>
        </w:p>
        <w:p>
          <w:pPr>
            <w:pStyle w:val="22"/>
            <w:tabs>
              <w:tab w:val="right" w:leader="dot" w:pos="8844"/>
            </w:tabs>
            <w:rPr>
              <w:rFonts w:hint="default" w:ascii="Times New Roman" w:hAnsi="Times New Roman" w:cs="Times New Roman"/>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_Toc22585 </w:instrText>
          </w:r>
          <w:r>
            <w:rPr>
              <w:rFonts w:hint="default" w:ascii="Times New Roman" w:hAnsi="Times New Roman" w:eastAsia="宋体" w:cs="Times New Roman"/>
              <w:szCs w:val="24"/>
            </w:rPr>
            <w:fldChar w:fldCharType="separate"/>
          </w:r>
          <w:r>
            <w:rPr>
              <w:rFonts w:hint="default" w:ascii="Times New Roman" w:hAnsi="Times New Roman" w:eastAsia="黑体" w:cs="Times New Roman"/>
              <w:snapToGrid w:val="0"/>
              <w:szCs w:val="30"/>
            </w:rPr>
            <w:t>六、结论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_Toc22585 \h </w:instrText>
          </w:r>
          <w:r>
            <w:rPr>
              <w:rFonts w:hint="default" w:ascii="Times New Roman" w:hAnsi="Times New Roman" w:cs="Times New Roman"/>
            </w:rPr>
            <w:fldChar w:fldCharType="separate"/>
          </w:r>
          <w:r>
            <w:rPr>
              <w:rFonts w:hint="default" w:ascii="Times New Roman" w:hAnsi="Times New Roman" w:cs="Times New Roman"/>
            </w:rPr>
            <w:t>98</w:t>
          </w:r>
          <w:r>
            <w:rPr>
              <w:rFonts w:hint="default" w:ascii="Times New Roman" w:hAnsi="Times New Roman" w:cs="Times New Roman"/>
            </w:rPr>
            <w:fldChar w:fldCharType="end"/>
          </w:r>
          <w:r>
            <w:rPr>
              <w:rFonts w:hint="default" w:ascii="Times New Roman" w:hAnsi="Times New Roman" w:eastAsia="宋体" w:cs="Times New Roman"/>
              <w:color w:val="auto"/>
              <w:szCs w:val="24"/>
            </w:rPr>
            <w:fldChar w:fldCharType="end"/>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Cs w:val="24"/>
            </w:rPr>
            <w:fldChar w:fldCharType="end"/>
          </w:r>
        </w:p>
      </w:sdtContent>
    </w:sdt>
    <w:p>
      <w:pPr>
        <w:adjustRightInd w:val="0"/>
        <w:snapToGrid w:val="0"/>
        <w:spacing w:line="360" w:lineRule="auto"/>
        <w:ind w:firstLine="480" w:firstLineChars="200"/>
        <w:rPr>
          <w:rFonts w:hint="default" w:ascii="Times New Roman" w:hAnsi="Times New Roman" w:eastAsia="黑体" w:cs="Times New Roman"/>
          <w:snapToGrid w:val="0"/>
          <w:color w:val="auto"/>
          <w:szCs w:val="30"/>
        </w:rPr>
      </w:pPr>
    </w:p>
    <w:p>
      <w:pPr>
        <w:pStyle w:val="65"/>
        <w:rPr>
          <w:rFonts w:hint="default" w:ascii="Times New Roman" w:hAnsi="Times New Roman" w:eastAsia="黑体" w:cs="Times New Roman"/>
          <w:snapToGrid w:val="0"/>
          <w:color w:val="auto"/>
          <w:szCs w:val="30"/>
        </w:rPr>
      </w:pPr>
    </w:p>
    <w:p>
      <w:pPr>
        <w:rPr>
          <w:rFonts w:hint="default" w:ascii="Times New Roman" w:hAnsi="Times New Roman" w:eastAsia="黑体" w:cs="Times New Roman"/>
          <w:snapToGrid w:val="0"/>
          <w:color w:val="auto"/>
          <w:szCs w:val="30"/>
        </w:rPr>
      </w:pPr>
    </w:p>
    <w:p>
      <w:pPr>
        <w:pStyle w:val="65"/>
        <w:rPr>
          <w:rFonts w:hint="default" w:ascii="Times New Roman" w:hAnsi="Times New Roman" w:eastAsia="黑体" w:cs="Times New Roman"/>
          <w:snapToGrid w:val="0"/>
          <w:color w:val="auto"/>
          <w:szCs w:val="30"/>
        </w:rPr>
      </w:pPr>
    </w:p>
    <w:p>
      <w:pPr>
        <w:rPr>
          <w:rFonts w:hint="default" w:ascii="Times New Roman" w:hAnsi="Times New Roman" w:eastAsia="黑体" w:cs="Times New Roman"/>
          <w:snapToGrid w:val="0"/>
          <w:color w:val="auto"/>
          <w:szCs w:val="30"/>
        </w:rPr>
      </w:pPr>
    </w:p>
    <w:p>
      <w:pPr>
        <w:pStyle w:val="65"/>
        <w:rPr>
          <w:rFonts w:hint="default" w:ascii="Times New Roman" w:hAnsi="Times New Roman" w:eastAsia="黑体" w:cs="Times New Roman"/>
          <w:snapToGrid w:val="0"/>
          <w:color w:val="auto"/>
          <w:szCs w:val="30"/>
        </w:rPr>
      </w:pPr>
    </w:p>
    <w:p>
      <w:pPr>
        <w:rPr>
          <w:rFonts w:hint="default" w:ascii="Times New Roman" w:hAnsi="Times New Roman" w:eastAsia="黑体" w:cs="Times New Roman"/>
          <w:snapToGrid w:val="0"/>
          <w:color w:val="auto"/>
          <w:szCs w:val="30"/>
        </w:rPr>
      </w:pPr>
    </w:p>
    <w:p>
      <w:pPr>
        <w:pStyle w:val="65"/>
        <w:rPr>
          <w:rFonts w:hint="default" w:ascii="Times New Roman" w:hAnsi="Times New Roman" w:eastAsia="黑体" w:cs="Times New Roman"/>
          <w:snapToGrid w:val="0"/>
          <w:color w:val="auto"/>
          <w:szCs w:val="30"/>
        </w:rPr>
      </w:pPr>
    </w:p>
    <w:p>
      <w:pPr>
        <w:rPr>
          <w:rFonts w:hint="default" w:ascii="Times New Roman" w:hAnsi="Times New Roman" w:eastAsia="黑体" w:cs="Times New Roman"/>
          <w:snapToGrid w:val="0"/>
          <w:color w:val="auto"/>
          <w:szCs w:val="30"/>
        </w:rPr>
      </w:pPr>
    </w:p>
    <w:p>
      <w:pPr>
        <w:pStyle w:val="65"/>
        <w:rPr>
          <w:rFonts w:hint="default" w:ascii="Times New Roman" w:hAnsi="Times New Roman" w:eastAsia="黑体" w:cs="Times New Roman"/>
          <w:snapToGrid w:val="0"/>
          <w:color w:val="auto"/>
          <w:szCs w:val="30"/>
        </w:rPr>
      </w:pPr>
    </w:p>
    <w:p>
      <w:pPr>
        <w:rPr>
          <w:rFonts w:hint="default" w:ascii="Times New Roman" w:hAnsi="Times New Roman" w:eastAsia="黑体" w:cs="Times New Roman"/>
          <w:snapToGrid w:val="0"/>
          <w:color w:val="auto"/>
          <w:szCs w:val="30"/>
        </w:rPr>
      </w:pPr>
    </w:p>
    <w:p>
      <w:pPr>
        <w:pStyle w:val="65"/>
        <w:rPr>
          <w:rFonts w:hint="default" w:ascii="Times New Roman" w:hAnsi="Times New Roman" w:eastAsia="黑体" w:cs="Times New Roman"/>
          <w:snapToGrid w:val="0"/>
          <w:color w:val="auto"/>
          <w:szCs w:val="30"/>
        </w:rPr>
      </w:pPr>
    </w:p>
    <w:p>
      <w:pPr>
        <w:rPr>
          <w:rFonts w:hint="default" w:ascii="Times New Roman" w:hAnsi="Times New Roman" w:eastAsia="黑体" w:cs="Times New Roman"/>
          <w:snapToGrid w:val="0"/>
          <w:color w:val="auto"/>
          <w:szCs w:val="30"/>
        </w:rPr>
      </w:pPr>
    </w:p>
    <w:p>
      <w:pPr>
        <w:pStyle w:val="65"/>
        <w:rPr>
          <w:rFonts w:hint="default" w:ascii="Times New Roman" w:hAnsi="Times New Roman" w:eastAsia="黑体" w:cs="Times New Roman"/>
          <w:snapToGrid w:val="0"/>
          <w:color w:val="auto"/>
          <w:szCs w:val="30"/>
        </w:rPr>
      </w:pPr>
    </w:p>
    <w:p>
      <w:pPr>
        <w:snapToGrid w:val="0"/>
        <w:spacing w:line="360" w:lineRule="auto"/>
        <w:rPr>
          <w:rFonts w:hint="default" w:ascii="Times New Roman" w:hAnsi="Times New Roman" w:cs="Times New Roman"/>
          <w:b/>
          <w:color w:val="auto"/>
          <w:sz w:val="24"/>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upperRoman" w:start="1"/>
          <w:cols w:space="720" w:num="1"/>
          <w:docGrid w:linePitch="312" w:charSpace="0"/>
        </w:sectPr>
      </w:pPr>
    </w:p>
    <w:p>
      <w:pPr>
        <w:pStyle w:val="12"/>
        <w:ind w:left="0" w:leftChars="0" w:firstLine="482" w:firstLineChars="200"/>
        <w:contextualSpacing/>
        <w:rPr>
          <w:rFonts w:hint="default" w:ascii="Times New Roman" w:hAnsi="Times New Roman" w:eastAsia="宋体" w:cs="Times New Roman"/>
          <w:b/>
        </w:rPr>
      </w:pPr>
      <w:bookmarkStart w:id="4" w:name="_Toc31899"/>
      <w:r>
        <w:rPr>
          <w:rFonts w:hint="default" w:ascii="Times New Roman" w:hAnsi="Times New Roman" w:eastAsia="宋体" w:cs="Times New Roman"/>
          <w:b/>
        </w:rPr>
        <w:t>附表：</w:t>
      </w:r>
    </w:p>
    <w:p>
      <w:pPr>
        <w:ind w:firstLine="480"/>
        <w:rPr>
          <w:rFonts w:hint="default" w:ascii="Times New Roman" w:hAnsi="Times New Roman" w:eastAsia="宋体" w:cs="Times New Roman"/>
        </w:rPr>
      </w:pPr>
      <w:r>
        <w:rPr>
          <w:rFonts w:hint="default" w:ascii="Times New Roman" w:hAnsi="Times New Roman" w:eastAsia="宋体" w:cs="Times New Roman"/>
        </w:rPr>
        <w:t>建设项目污染物排放量汇总表</w:t>
      </w:r>
    </w:p>
    <w:p>
      <w:pPr>
        <w:pStyle w:val="12"/>
        <w:ind w:left="0" w:leftChars="0" w:firstLine="482" w:firstLineChars="200"/>
        <w:contextualSpacing/>
        <w:rPr>
          <w:rFonts w:hint="default" w:ascii="Times New Roman" w:hAnsi="Times New Roman" w:eastAsia="宋体" w:cs="Times New Roman"/>
          <w:b/>
        </w:rPr>
      </w:pPr>
      <w:r>
        <w:rPr>
          <w:rFonts w:hint="default" w:ascii="Times New Roman" w:hAnsi="Times New Roman" w:eastAsia="宋体" w:cs="Times New Roman"/>
          <w:b/>
        </w:rPr>
        <w:t>附件：</w:t>
      </w:r>
    </w:p>
    <w:p>
      <w:pPr>
        <w:ind w:firstLine="480"/>
        <w:rPr>
          <w:rFonts w:hint="default" w:ascii="Times New Roman" w:hAnsi="Times New Roman" w:eastAsia="宋体" w:cs="Times New Roman"/>
        </w:rPr>
      </w:pPr>
      <w:r>
        <w:rPr>
          <w:rFonts w:hint="default" w:ascii="Times New Roman" w:hAnsi="Times New Roman" w:eastAsia="宋体" w:cs="Times New Roman"/>
        </w:rPr>
        <w:t>附件1委托书</w:t>
      </w:r>
    </w:p>
    <w:p>
      <w:pPr>
        <w:ind w:firstLine="480"/>
        <w:rPr>
          <w:rFonts w:hint="default" w:ascii="Times New Roman" w:hAnsi="Times New Roman" w:eastAsia="宋体" w:cs="Times New Roman"/>
          <w:lang w:eastAsia="zh-CN"/>
        </w:rPr>
      </w:pPr>
      <w:r>
        <w:rPr>
          <w:rFonts w:hint="default" w:ascii="Times New Roman" w:hAnsi="Times New Roman" w:eastAsia="宋体" w:cs="Times New Roman"/>
        </w:rPr>
        <w:t>附件2入园</w:t>
      </w:r>
      <w:r>
        <w:rPr>
          <w:rFonts w:hint="default" w:ascii="Times New Roman" w:hAnsi="Times New Roman" w:eastAsia="宋体" w:cs="Times New Roman"/>
          <w:lang w:eastAsia="zh-CN"/>
        </w:rPr>
        <w:t>证明</w:t>
      </w:r>
    </w:p>
    <w:p>
      <w:pPr>
        <w:ind w:firstLine="480"/>
        <w:rPr>
          <w:rFonts w:hint="default" w:ascii="Times New Roman" w:hAnsi="Times New Roman" w:eastAsia="宋体" w:cs="Times New Roman"/>
        </w:rPr>
      </w:pPr>
      <w:r>
        <w:rPr>
          <w:rFonts w:hint="default" w:ascii="Times New Roman" w:hAnsi="Times New Roman" w:eastAsia="宋体" w:cs="Times New Roman"/>
        </w:rPr>
        <w:t>附件3营业执照</w:t>
      </w:r>
    </w:p>
    <w:p>
      <w:pPr>
        <w:ind w:firstLine="480"/>
        <w:rPr>
          <w:rFonts w:hint="default" w:ascii="Times New Roman" w:hAnsi="Times New Roman" w:eastAsia="宋体" w:cs="Times New Roman"/>
        </w:rPr>
      </w:pPr>
      <w:r>
        <w:rPr>
          <w:rFonts w:hint="default" w:ascii="Times New Roman" w:hAnsi="Times New Roman" w:eastAsia="宋体" w:cs="Times New Roman"/>
        </w:rPr>
        <w:t>附件</w:t>
      </w:r>
      <w:r>
        <w:rPr>
          <w:rFonts w:hint="default" w:ascii="Times New Roman" w:hAnsi="Times New Roman" w:eastAsia="宋体" w:cs="Times New Roman"/>
          <w:lang w:val="en-US" w:eastAsia="zh-CN"/>
        </w:rPr>
        <w:t>4</w:t>
      </w:r>
      <w:r>
        <w:rPr>
          <w:rFonts w:hint="default" w:ascii="Times New Roman" w:hAnsi="Times New Roman" w:eastAsia="宋体" w:cs="Times New Roman"/>
        </w:rPr>
        <w:t>项目投资备案证</w:t>
      </w:r>
    </w:p>
    <w:p>
      <w:pPr>
        <w:ind w:firstLine="480"/>
        <w:rPr>
          <w:rFonts w:hint="default" w:ascii="Times New Roman" w:hAnsi="Times New Roman" w:eastAsia="宋体" w:cs="Times New Roman"/>
        </w:rPr>
      </w:pPr>
      <w:r>
        <w:rPr>
          <w:rFonts w:hint="default" w:ascii="Times New Roman" w:hAnsi="Times New Roman" w:eastAsia="宋体" w:cs="Times New Roman"/>
        </w:rPr>
        <w:t>附件</w:t>
      </w:r>
      <w:r>
        <w:rPr>
          <w:rFonts w:hint="default" w:ascii="Times New Roman" w:hAnsi="Times New Roman" w:eastAsia="宋体" w:cs="Times New Roman"/>
          <w:lang w:val="en-US" w:eastAsia="zh-CN"/>
        </w:rPr>
        <w:t>5</w:t>
      </w:r>
      <w:r>
        <w:rPr>
          <w:rFonts w:hint="default" w:ascii="Times New Roman" w:hAnsi="Times New Roman" w:eastAsia="宋体" w:cs="Times New Roman"/>
          <w:b w:val="0"/>
          <w:bCs/>
          <w:color w:val="auto"/>
          <w:szCs w:val="21"/>
        </w:rPr>
        <w:t>《关于</w:t>
      </w:r>
      <w:r>
        <w:rPr>
          <w:rFonts w:hint="default" w:ascii="Times New Roman" w:hAnsi="Times New Roman" w:eastAsia="宋体" w:cs="Times New Roman"/>
          <w:b w:val="0"/>
          <w:bCs/>
          <w:color w:val="auto"/>
          <w:szCs w:val="21"/>
          <w:lang w:val="en-US" w:eastAsia="zh-CN"/>
        </w:rPr>
        <w:t>云南澄江产业园区总体规划</w:t>
      </w:r>
      <w:r>
        <w:rPr>
          <w:rFonts w:hint="default" w:ascii="Times New Roman" w:hAnsi="Times New Roman" w:eastAsia="宋体" w:cs="Times New Roman"/>
          <w:b w:val="0"/>
          <w:bCs/>
          <w:color w:val="auto"/>
          <w:szCs w:val="21"/>
        </w:rPr>
        <w:t>修编（2021-2035）环境影响报告书》审查意见</w:t>
      </w:r>
      <w:r>
        <w:rPr>
          <w:rFonts w:hint="default" w:ascii="Times New Roman" w:hAnsi="Times New Roman" w:eastAsia="宋体" w:cs="Times New Roman"/>
        </w:rPr>
        <w:t>的函及审查意见</w:t>
      </w:r>
    </w:p>
    <w:p>
      <w:pPr>
        <w:ind w:firstLine="480"/>
        <w:rPr>
          <w:rFonts w:hint="default" w:ascii="Times New Roman" w:hAnsi="Times New Roman" w:eastAsia="宋体" w:cs="Times New Roman"/>
        </w:rPr>
      </w:pPr>
      <w:r>
        <w:rPr>
          <w:rFonts w:hint="default" w:ascii="Times New Roman" w:hAnsi="Times New Roman" w:eastAsia="宋体" w:cs="Times New Roman"/>
        </w:rPr>
        <w:t>附件6引用监测报告</w:t>
      </w:r>
    </w:p>
    <w:p>
      <w:pPr>
        <w:ind w:firstLine="480"/>
        <w:rPr>
          <w:rFonts w:hint="default" w:ascii="Times New Roman" w:hAnsi="Times New Roman" w:eastAsia="宋体" w:cs="Times New Roman"/>
          <w:lang w:eastAsia="zh-CN"/>
        </w:rPr>
      </w:pPr>
      <w:r>
        <w:rPr>
          <w:rFonts w:hint="default" w:ascii="Times New Roman" w:hAnsi="Times New Roman" w:eastAsia="宋体" w:cs="Times New Roman"/>
          <w:lang w:eastAsia="zh-CN"/>
        </w:rPr>
        <w:t>附件7排污许可证明</w:t>
      </w:r>
    </w:p>
    <w:p>
      <w:pPr>
        <w:ind w:firstLine="480"/>
        <w:rPr>
          <w:rFonts w:hint="eastAsia" w:cs="Times New Roman"/>
          <w:lang w:val="en-US" w:eastAsia="zh-CN"/>
        </w:rPr>
      </w:pPr>
      <w:r>
        <w:rPr>
          <w:rFonts w:hint="eastAsia" w:cs="Times New Roman"/>
          <w:lang w:val="en-US" w:eastAsia="zh-CN"/>
        </w:rPr>
        <w:t>附件8验收意见</w:t>
      </w:r>
    </w:p>
    <w:p>
      <w:pPr>
        <w:pStyle w:val="12"/>
        <w:ind w:left="0" w:leftChars="0" w:firstLine="480" w:firstLineChars="200"/>
        <w:contextualSpacing/>
        <w:rPr>
          <w:rFonts w:hint="eastAsia" w:cs="Times New Roman"/>
          <w:lang w:val="en-US" w:eastAsia="zh-CN"/>
        </w:rPr>
      </w:pPr>
      <w:r>
        <w:rPr>
          <w:rFonts w:hint="eastAsia" w:cs="Times New Roman"/>
          <w:lang w:val="en-US" w:eastAsia="zh-CN"/>
        </w:rPr>
        <w:t>附件9验收公示截图</w:t>
      </w:r>
    </w:p>
    <w:p>
      <w:pPr>
        <w:pStyle w:val="12"/>
        <w:ind w:left="0" w:leftChars="0" w:firstLine="480" w:firstLineChars="200"/>
        <w:contextualSpacing/>
        <w:rPr>
          <w:rFonts w:hint="eastAsia" w:cs="Times New Roman"/>
          <w:lang w:val="en-US" w:eastAsia="zh-CN"/>
        </w:rPr>
      </w:pPr>
      <w:r>
        <w:rPr>
          <w:rFonts w:hint="eastAsia" w:cs="Times New Roman"/>
          <w:lang w:val="en-US" w:eastAsia="zh-CN"/>
        </w:rPr>
        <w:t>附件10验收申报截图</w:t>
      </w:r>
    </w:p>
    <w:p>
      <w:pPr>
        <w:pStyle w:val="12"/>
        <w:ind w:left="0" w:leftChars="0" w:firstLine="480" w:firstLineChars="200"/>
        <w:contextualSpacing/>
        <w:rPr>
          <w:rFonts w:hint="eastAsia" w:cs="Times New Roman"/>
          <w:lang w:val="en-US" w:eastAsia="zh-CN"/>
        </w:rPr>
      </w:pPr>
      <w:r>
        <w:rPr>
          <w:rFonts w:hint="eastAsia" w:cs="Times New Roman"/>
          <w:lang w:val="en-US" w:eastAsia="zh-CN"/>
        </w:rPr>
        <w:t>附件11验收专家签字表</w:t>
      </w:r>
    </w:p>
    <w:p>
      <w:pPr>
        <w:pStyle w:val="12"/>
        <w:ind w:left="0" w:leftChars="0" w:firstLine="480" w:firstLineChars="200"/>
        <w:contextualSpacing/>
        <w:rPr>
          <w:rFonts w:hint="default" w:cs="Times New Roman"/>
          <w:lang w:val="en-US" w:eastAsia="zh-CN"/>
        </w:rPr>
      </w:pPr>
      <w:r>
        <w:rPr>
          <w:rFonts w:hint="eastAsia" w:cs="Times New Roman"/>
          <w:lang w:val="en-US" w:eastAsia="zh-CN"/>
        </w:rPr>
        <w:t>附件12 环评批复</w:t>
      </w:r>
    </w:p>
    <w:p>
      <w:pPr>
        <w:pStyle w:val="12"/>
        <w:ind w:left="0" w:leftChars="0" w:firstLine="482" w:firstLineChars="200"/>
        <w:contextualSpacing/>
        <w:rPr>
          <w:rFonts w:hint="default" w:ascii="Times New Roman" w:hAnsi="Times New Roman" w:eastAsia="宋体" w:cs="Times New Roman"/>
          <w:b/>
        </w:rPr>
      </w:pPr>
      <w:r>
        <w:rPr>
          <w:rFonts w:hint="default" w:ascii="Times New Roman" w:hAnsi="Times New Roman" w:eastAsia="宋体" w:cs="Times New Roman"/>
          <w:b/>
        </w:rPr>
        <w:t>附图：</w:t>
      </w:r>
    </w:p>
    <w:p>
      <w:pPr>
        <w:ind w:firstLine="480"/>
        <w:rPr>
          <w:rFonts w:hint="default" w:ascii="Times New Roman" w:hAnsi="Times New Roman" w:eastAsia="宋体" w:cs="Times New Roman"/>
        </w:rPr>
      </w:pPr>
      <w:r>
        <w:rPr>
          <w:rFonts w:hint="default" w:ascii="Times New Roman" w:hAnsi="Times New Roman" w:eastAsia="宋体" w:cs="Times New Roman"/>
        </w:rPr>
        <w:t>附图1建设项目地理位置图</w:t>
      </w:r>
    </w:p>
    <w:p>
      <w:pPr>
        <w:ind w:firstLine="480"/>
        <w:rPr>
          <w:rFonts w:hint="default" w:ascii="Times New Roman" w:hAnsi="Times New Roman" w:eastAsia="宋体" w:cs="Times New Roman"/>
        </w:rPr>
      </w:pPr>
      <w:r>
        <w:rPr>
          <w:rFonts w:hint="default" w:ascii="Times New Roman" w:hAnsi="Times New Roman" w:eastAsia="宋体" w:cs="Times New Roman"/>
        </w:rPr>
        <w:t>附图2建设项目区域水系图</w:t>
      </w:r>
    </w:p>
    <w:p>
      <w:pPr>
        <w:ind w:firstLine="480"/>
        <w:rPr>
          <w:rFonts w:hint="default" w:ascii="Times New Roman" w:hAnsi="Times New Roman" w:eastAsia="宋体" w:cs="Times New Roman"/>
        </w:rPr>
      </w:pPr>
      <w:r>
        <w:rPr>
          <w:rFonts w:hint="default" w:ascii="Times New Roman" w:hAnsi="Times New Roman" w:eastAsia="宋体" w:cs="Times New Roman"/>
        </w:rPr>
        <w:t>附图3项目</w:t>
      </w:r>
      <w:r>
        <w:rPr>
          <w:rFonts w:hint="default" w:ascii="Times New Roman" w:hAnsi="Times New Roman" w:eastAsia="宋体" w:cs="Times New Roman"/>
          <w:lang w:eastAsia="zh-CN"/>
        </w:rPr>
        <w:t>总</w:t>
      </w:r>
      <w:r>
        <w:rPr>
          <w:rFonts w:hint="default" w:ascii="Times New Roman" w:hAnsi="Times New Roman" w:eastAsia="宋体" w:cs="Times New Roman"/>
        </w:rPr>
        <w:t>平面布置图</w:t>
      </w:r>
    </w:p>
    <w:p>
      <w:pPr>
        <w:pStyle w:val="12"/>
        <w:ind w:left="0" w:leftChars="0" w:firstLine="480" w:firstLineChars="200"/>
        <w:contextualSpacing/>
        <w:rPr>
          <w:rFonts w:hint="default" w:ascii="Times New Roman" w:hAnsi="Times New Roman" w:eastAsia="宋体" w:cs="Times New Roman"/>
        </w:rPr>
      </w:pPr>
      <w:r>
        <w:rPr>
          <w:rFonts w:hint="default" w:ascii="Times New Roman" w:hAnsi="Times New Roman" w:eastAsia="宋体" w:cs="Times New Roman"/>
        </w:rPr>
        <w:t>附图</w:t>
      </w:r>
      <w:r>
        <w:rPr>
          <w:rFonts w:hint="default" w:ascii="Times New Roman" w:hAnsi="Times New Roman" w:eastAsia="宋体" w:cs="Times New Roman"/>
          <w:lang w:val="en-US" w:eastAsia="zh-CN"/>
        </w:rPr>
        <w:t>4</w:t>
      </w:r>
      <w:r>
        <w:rPr>
          <w:rFonts w:hint="default" w:ascii="Times New Roman" w:hAnsi="Times New Roman" w:eastAsia="宋体" w:cs="Times New Roman"/>
        </w:rPr>
        <w:t>项目周边关系图</w:t>
      </w:r>
    </w:p>
    <w:p>
      <w:pPr>
        <w:ind w:firstLine="480"/>
        <w:rPr>
          <w:rFonts w:hint="default" w:ascii="Times New Roman" w:hAnsi="Times New Roman" w:eastAsia="宋体" w:cs="Times New Roman"/>
        </w:rPr>
      </w:pPr>
      <w:r>
        <w:rPr>
          <w:rFonts w:hint="default" w:ascii="Times New Roman" w:hAnsi="Times New Roman" w:eastAsia="宋体" w:cs="Times New Roman"/>
        </w:rPr>
        <w:t>附图</w:t>
      </w:r>
      <w:r>
        <w:rPr>
          <w:rFonts w:hint="default" w:ascii="Times New Roman" w:hAnsi="Times New Roman" w:eastAsia="宋体" w:cs="Times New Roman"/>
          <w:lang w:val="en-US" w:eastAsia="zh-CN"/>
        </w:rPr>
        <w:t>5</w:t>
      </w:r>
      <w:r>
        <w:rPr>
          <w:rFonts w:hint="default" w:ascii="Times New Roman" w:hAnsi="Times New Roman" w:eastAsia="宋体" w:cs="Times New Roman"/>
        </w:rPr>
        <w:t>项目与澄江产业园区提古片区用地规划位置关系图</w:t>
      </w:r>
    </w:p>
    <w:p>
      <w:pPr>
        <w:tabs>
          <w:tab w:val="left" w:pos="927"/>
        </w:tabs>
        <w:snapToGrid w:val="0"/>
        <w:spacing w:line="360" w:lineRule="auto"/>
        <w:ind w:firstLine="480" w:firstLineChars="200"/>
        <w:rPr>
          <w:rFonts w:hint="default" w:ascii="Times New Roman" w:hAnsi="Times New Roman" w:eastAsia="宋体" w:cs="Times New Roman"/>
          <w:color w:val="auto"/>
          <w:szCs w:val="21"/>
          <w:lang w:eastAsia="zh-CN"/>
        </w:rPr>
      </w:pPr>
    </w:p>
    <w:p>
      <w:pPr>
        <w:pStyle w:val="24"/>
        <w:jc w:val="center"/>
        <w:outlineLvl w:val="9"/>
        <w:rPr>
          <w:rFonts w:hint="default" w:ascii="Times New Roman" w:hAnsi="Times New Roman" w:eastAsia="黑体" w:cs="Times New Roman"/>
          <w:snapToGrid w:val="0"/>
          <w:color w:val="auto"/>
          <w:sz w:val="30"/>
          <w:szCs w:val="30"/>
        </w:rPr>
      </w:pPr>
    </w:p>
    <w:p>
      <w:pPr>
        <w:pStyle w:val="24"/>
        <w:jc w:val="center"/>
        <w:outlineLvl w:val="9"/>
        <w:rPr>
          <w:rFonts w:hint="default" w:ascii="Times New Roman" w:hAnsi="Times New Roman" w:eastAsia="黑体" w:cs="Times New Roman"/>
          <w:snapToGrid w:val="0"/>
          <w:color w:val="auto"/>
          <w:sz w:val="30"/>
          <w:szCs w:val="30"/>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lowerRoman" w:start="1"/>
          <w:cols w:space="720" w:num="1"/>
          <w:docGrid w:linePitch="312" w:charSpace="0"/>
        </w:sectPr>
      </w:pPr>
    </w:p>
    <w:p>
      <w:pPr>
        <w:pStyle w:val="2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黑体" w:cs="Times New Roman"/>
          <w:snapToGrid w:val="0"/>
          <w:color w:val="auto"/>
          <w:sz w:val="30"/>
          <w:szCs w:val="30"/>
        </w:rPr>
      </w:pPr>
      <w:bookmarkStart w:id="5" w:name="_Toc18159"/>
      <w:r>
        <w:rPr>
          <w:rFonts w:hint="default" w:ascii="Times New Roman" w:hAnsi="Times New Roman" w:eastAsia="黑体" w:cs="Times New Roman"/>
          <w:snapToGrid w:val="0"/>
          <w:color w:val="auto"/>
          <w:sz w:val="30"/>
          <w:szCs w:val="30"/>
          <w:lang w:val="en-US" w:eastAsia="zh-CN"/>
        </w:rPr>
        <w:t>一、</w:t>
      </w:r>
      <w:r>
        <w:rPr>
          <w:rFonts w:hint="default" w:ascii="Times New Roman" w:hAnsi="Times New Roman" w:eastAsia="黑体" w:cs="Times New Roman"/>
          <w:snapToGrid w:val="0"/>
          <w:color w:val="auto"/>
          <w:sz w:val="30"/>
          <w:szCs w:val="30"/>
        </w:rPr>
        <w:t>建设项目基本情况</w:t>
      </w:r>
      <w:bookmarkEnd w:id="4"/>
      <w:bookmarkEnd w:id="5"/>
    </w:p>
    <w:tbl>
      <w:tblPr>
        <w:tblStyle w:val="28"/>
        <w:tblW w:w="4964"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02"/>
        <w:gridCol w:w="2480"/>
        <w:gridCol w:w="560"/>
        <w:gridCol w:w="1772"/>
        <w:gridCol w:w="27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683" w:type="pct"/>
            <w:tcMar>
              <w:top w:w="16" w:type="dxa"/>
              <w:left w:w="16" w:type="dxa"/>
              <w:right w:w="16" w:type="dxa"/>
            </w:tcMar>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4316" w:type="pct"/>
            <w:gridSpan w:val="4"/>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云南鑫多新型材料有限公司年产55万㎡中空玻璃改扩建项目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83" w:type="pct"/>
            <w:tcMar>
              <w:top w:w="16" w:type="dxa"/>
              <w:left w:w="16" w:type="dxa"/>
              <w:right w:w="16" w:type="dxa"/>
            </w:tcMar>
            <w:vAlign w:val="center"/>
          </w:tcPr>
          <w:p>
            <w:pPr>
              <w:pageBreakBefore w:val="0"/>
              <w:kinsoku/>
              <w:wordWrap/>
              <w:overflowPunct/>
              <w:topLinePunct w:val="0"/>
              <w:bidi w:val="0"/>
              <w:adjustRightIn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4316" w:type="pct"/>
            <w:gridSpan w:val="4"/>
            <w:vAlign w:val="center"/>
          </w:tcPr>
          <w:p>
            <w:pPr>
              <w:pageBreakBefore w:val="0"/>
              <w:numPr>
                <w:ilvl w:val="0"/>
                <w:numId w:val="0"/>
              </w:numPr>
              <w:kinsoku/>
              <w:wordWrap/>
              <w:overflowPunct/>
              <w:topLinePunct w:val="0"/>
              <w:bidi w:val="0"/>
              <w:adjustRightInd w:val="0"/>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2402-530422-04-02-211454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683" w:type="pct"/>
            <w:tcMar>
              <w:top w:w="16" w:type="dxa"/>
              <w:left w:w="16" w:type="dxa"/>
              <w:right w:w="16" w:type="dxa"/>
            </w:tcMar>
            <w:vAlign w:val="center"/>
          </w:tcPr>
          <w:p>
            <w:pPr>
              <w:pageBreakBefore w:val="0"/>
              <w:kinsoku/>
              <w:wordWrap/>
              <w:overflowPunct/>
              <w:topLinePunct w:val="0"/>
              <w:bidi w:val="0"/>
              <w:adjustRightIn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建设单位联系人</w:t>
            </w:r>
          </w:p>
        </w:tc>
        <w:tc>
          <w:tcPr>
            <w:tcW w:w="1408" w:type="pct"/>
            <w:vAlign w:val="center"/>
          </w:tcPr>
          <w:p>
            <w:pPr>
              <w:pageBreakBefore w:val="0"/>
              <w:kinsoku/>
              <w:wordWrap/>
              <w:overflowPunct/>
              <w:topLinePunct w:val="0"/>
              <w:bidi w:val="0"/>
              <w:adjustRightInd w:val="0"/>
              <w:ind w:firstLine="0" w:firstLineChars="0"/>
              <w:jc w:val="center"/>
              <w:rPr>
                <w:rFonts w:hint="default" w:ascii="Times New Roman" w:hAnsi="Times New Roman" w:cs="Times New Roman"/>
                <w:color w:val="auto"/>
                <w:szCs w:val="21"/>
              </w:rPr>
            </w:pPr>
            <w:r>
              <w:rPr>
                <w:rFonts w:hint="default" w:ascii="Times New Roman" w:hAnsi="Times New Roman" w:cs="Times New Roman"/>
                <w:lang w:val="en-US" w:eastAsia="zh-CN"/>
              </w:rPr>
              <w:t>詹文华</w:t>
            </w:r>
          </w:p>
        </w:tc>
        <w:tc>
          <w:tcPr>
            <w:tcW w:w="1324" w:type="pct"/>
            <w:gridSpan w:val="2"/>
            <w:vAlign w:val="center"/>
          </w:tcPr>
          <w:p>
            <w:pPr>
              <w:pageBreakBefore w:val="0"/>
              <w:kinsoku/>
              <w:wordWrap/>
              <w:overflowPunct/>
              <w:topLinePunct w:val="0"/>
              <w:bidi w:val="0"/>
              <w:adjustRightIn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联系方式</w:t>
            </w:r>
          </w:p>
        </w:tc>
        <w:tc>
          <w:tcPr>
            <w:tcW w:w="1584" w:type="pct"/>
            <w:vAlign w:val="center"/>
          </w:tcPr>
          <w:p>
            <w:pPr>
              <w:pageBreakBefore w:val="0"/>
              <w:kinsoku/>
              <w:wordWrap/>
              <w:overflowPunct/>
              <w:topLinePunct w:val="0"/>
              <w:bidi w:val="0"/>
              <w:adjustRightInd w:val="0"/>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13672248559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683" w:type="pct"/>
            <w:tcMar>
              <w:top w:w="16" w:type="dxa"/>
              <w:left w:w="16" w:type="dxa"/>
              <w:right w:w="16" w:type="dxa"/>
            </w:tcMar>
            <w:vAlign w:val="center"/>
          </w:tcPr>
          <w:p>
            <w:pPr>
              <w:pageBreakBefore w:val="0"/>
              <w:kinsoku/>
              <w:wordWrap/>
              <w:overflowPunct/>
              <w:topLinePunct w:val="0"/>
              <w:bidi w:val="0"/>
              <w:adjustRightIn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4316" w:type="pct"/>
            <w:gridSpan w:val="4"/>
            <w:vAlign w:val="center"/>
          </w:tcPr>
          <w:p>
            <w:pPr>
              <w:pageBreakBefore w:val="0"/>
              <w:kinsoku/>
              <w:wordWrap/>
              <w:overflowPunct/>
              <w:topLinePunct w:val="0"/>
              <w:bidi w:val="0"/>
              <w:adjustRightIn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云南</w:t>
            </w:r>
            <w:r>
              <w:rPr>
                <w:rFonts w:hint="default" w:ascii="Times New Roman" w:hAnsi="Times New Roman" w:cs="Times New Roman"/>
                <w:color w:val="auto"/>
                <w:szCs w:val="21"/>
                <w:lang w:eastAsia="zh-CN"/>
              </w:rPr>
              <w:t>澄江</w:t>
            </w:r>
            <w:r>
              <w:rPr>
                <w:rFonts w:hint="default" w:ascii="Times New Roman" w:hAnsi="Times New Roman" w:cs="Times New Roman"/>
                <w:color w:val="auto"/>
                <w:szCs w:val="21"/>
                <w:lang w:val="en-US" w:eastAsia="zh-CN"/>
              </w:rPr>
              <w:t>产业</w:t>
            </w:r>
            <w:r>
              <w:rPr>
                <w:rFonts w:hint="default" w:ascii="Times New Roman" w:hAnsi="Times New Roman" w:cs="Times New Roman"/>
                <w:color w:val="auto"/>
                <w:szCs w:val="21"/>
                <w:lang w:eastAsia="zh-CN"/>
              </w:rPr>
              <w:t>园区提古片区</w:t>
            </w:r>
            <w:r>
              <w:rPr>
                <w:rFonts w:hint="default" w:ascii="Times New Roman" w:hAnsi="Times New Roman" w:cs="Times New Roman"/>
                <w:color w:val="auto"/>
                <w:szCs w:val="21"/>
                <w:lang w:val="en-US" w:eastAsia="zh-CN"/>
              </w:rPr>
              <w:t>云南鑫成鹏高分子科技有限公司的闲置3号厂房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683" w:type="pct"/>
            <w:tcMar>
              <w:top w:w="16" w:type="dxa"/>
              <w:left w:w="16" w:type="dxa"/>
              <w:right w:w="16" w:type="dxa"/>
            </w:tcMar>
            <w:vAlign w:val="center"/>
          </w:tcPr>
          <w:p>
            <w:pPr>
              <w:pageBreakBefore w:val="0"/>
              <w:kinsoku/>
              <w:wordWrap/>
              <w:overflowPunct/>
              <w:topLinePunct w:val="0"/>
              <w:bidi w:val="0"/>
              <w:adjustRightIn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4316" w:type="pct"/>
            <w:gridSpan w:val="4"/>
            <w:vAlign w:val="center"/>
          </w:tcPr>
          <w:p>
            <w:pPr>
              <w:pageBreakBefore w:val="0"/>
              <w:kinsoku/>
              <w:wordWrap/>
              <w:overflowPunct/>
              <w:topLinePunct w:val="0"/>
              <w:bidi w:val="0"/>
              <w:ind w:firstLine="0" w:firstLineChars="0"/>
              <w:jc w:val="center"/>
              <w:rPr>
                <w:rFonts w:hint="default" w:ascii="Times New Roman" w:hAnsi="Times New Roman" w:cs="Times New Roman"/>
                <w:color w:val="auto"/>
                <w:szCs w:val="21"/>
              </w:rPr>
            </w:pPr>
            <w:r>
              <w:rPr>
                <w:rFonts w:hint="default" w:ascii="Times New Roman" w:hAnsi="Times New Roman" w:cs="Times New Roman"/>
                <w:spacing w:val="-2"/>
                <w:sz w:val="21"/>
                <w:szCs w:val="21"/>
              </w:rPr>
              <w:t>（</w:t>
            </w:r>
            <w:r>
              <w:rPr>
                <w:rFonts w:hint="default" w:ascii="Times New Roman" w:hAnsi="Times New Roman" w:eastAsia="Times New Roman" w:cs="Times New Roman"/>
                <w:spacing w:val="-2"/>
                <w:sz w:val="21"/>
                <w:szCs w:val="21"/>
              </w:rPr>
              <w:t>102</w:t>
            </w:r>
            <w:r>
              <w:rPr>
                <w:rFonts w:hint="default" w:ascii="Times New Roman" w:hAnsi="Times New Roman" w:cs="Times New Roman"/>
                <w:spacing w:val="-2"/>
                <w:sz w:val="21"/>
                <w:szCs w:val="21"/>
              </w:rPr>
              <w:t>度</w:t>
            </w:r>
            <w:r>
              <w:rPr>
                <w:rFonts w:hint="default" w:ascii="Times New Roman" w:hAnsi="Times New Roman" w:eastAsia="Times New Roman" w:cs="Times New Roman"/>
                <w:spacing w:val="-2"/>
                <w:sz w:val="21"/>
                <w:szCs w:val="21"/>
              </w:rPr>
              <w:t>51</w:t>
            </w:r>
            <w:r>
              <w:rPr>
                <w:rFonts w:hint="default" w:ascii="Times New Roman" w:hAnsi="Times New Roman" w:cs="Times New Roman"/>
                <w:spacing w:val="-2"/>
                <w:sz w:val="21"/>
                <w:szCs w:val="21"/>
              </w:rPr>
              <w:t>分</w:t>
            </w:r>
            <w:r>
              <w:rPr>
                <w:rFonts w:hint="default" w:ascii="Times New Roman" w:hAnsi="Times New Roman" w:eastAsia="Times New Roman" w:cs="Times New Roman"/>
                <w:spacing w:val="-2"/>
                <w:sz w:val="21"/>
                <w:szCs w:val="21"/>
              </w:rPr>
              <w:t>8.080</w:t>
            </w:r>
            <w:r>
              <w:rPr>
                <w:rFonts w:hint="default" w:ascii="Times New Roman" w:hAnsi="Times New Roman" w:cs="Times New Roman"/>
                <w:spacing w:val="-2"/>
                <w:sz w:val="21"/>
                <w:szCs w:val="21"/>
              </w:rPr>
              <w:t>秒，</w:t>
            </w:r>
            <w:r>
              <w:rPr>
                <w:rFonts w:hint="default" w:ascii="Times New Roman" w:hAnsi="Times New Roman" w:eastAsia="Times New Roman" w:cs="Times New Roman"/>
                <w:spacing w:val="-2"/>
                <w:sz w:val="21"/>
                <w:szCs w:val="21"/>
              </w:rPr>
              <w:t>24</w:t>
            </w:r>
            <w:r>
              <w:rPr>
                <w:rFonts w:hint="default" w:ascii="Times New Roman" w:hAnsi="Times New Roman" w:cs="Times New Roman"/>
                <w:spacing w:val="-2"/>
                <w:sz w:val="21"/>
                <w:szCs w:val="21"/>
              </w:rPr>
              <w:t>度</w:t>
            </w:r>
            <w:r>
              <w:rPr>
                <w:rFonts w:hint="default" w:ascii="Times New Roman" w:hAnsi="Times New Roman" w:eastAsia="Times New Roman" w:cs="Times New Roman"/>
                <w:spacing w:val="-2"/>
                <w:sz w:val="21"/>
                <w:szCs w:val="21"/>
              </w:rPr>
              <w:t>44</w:t>
            </w:r>
            <w:r>
              <w:rPr>
                <w:rFonts w:hint="default" w:ascii="Times New Roman" w:hAnsi="Times New Roman" w:cs="Times New Roman"/>
                <w:spacing w:val="-2"/>
                <w:sz w:val="21"/>
                <w:szCs w:val="21"/>
              </w:rPr>
              <w:t>分</w:t>
            </w:r>
            <w:r>
              <w:rPr>
                <w:rFonts w:hint="default" w:ascii="Times New Roman" w:hAnsi="Times New Roman" w:eastAsia="Times New Roman" w:cs="Times New Roman"/>
                <w:spacing w:val="-2"/>
                <w:sz w:val="21"/>
                <w:szCs w:val="21"/>
              </w:rPr>
              <w:t>42.510</w:t>
            </w:r>
            <w:r>
              <w:rPr>
                <w:rFonts w:hint="default" w:ascii="Times New Roman" w:hAnsi="Times New Roman" w:cs="Times New Roman"/>
                <w:spacing w:val="-2"/>
                <w:sz w:val="21"/>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683" w:type="pct"/>
            <w:tcMar>
              <w:top w:w="16" w:type="dxa"/>
              <w:left w:w="16" w:type="dxa"/>
              <w:right w:w="16" w:type="dxa"/>
            </w:tcMar>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国民经济</w:t>
            </w:r>
          </w:p>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p>
        </w:tc>
        <w:tc>
          <w:tcPr>
            <w:tcW w:w="1726" w:type="pct"/>
            <w:gridSpan w:val="2"/>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（C304</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特种玻璃制造</w:t>
            </w:r>
          </w:p>
        </w:tc>
        <w:tc>
          <w:tcPr>
            <w:tcW w:w="1005" w:type="pct"/>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bookmarkStart w:id="6" w:name="_Hlk49843745"/>
            <w:r>
              <w:rPr>
                <w:rFonts w:hint="default" w:ascii="Times New Roman" w:hAnsi="Times New Roman" w:cs="Times New Roman"/>
                <w:color w:val="auto"/>
                <w:szCs w:val="21"/>
              </w:rPr>
              <w:t>建设项目</w:t>
            </w:r>
          </w:p>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bookmarkEnd w:id="6"/>
          </w:p>
        </w:tc>
        <w:tc>
          <w:tcPr>
            <w:tcW w:w="1584" w:type="pct"/>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二十七、非金属矿物制品业30；57.玻璃制品制造304：玻璃制品制造305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72" w:hRule="atLeast"/>
        </w:trPr>
        <w:tc>
          <w:tcPr>
            <w:tcW w:w="683" w:type="pct"/>
            <w:tcMar>
              <w:top w:w="16" w:type="dxa"/>
              <w:left w:w="16" w:type="dxa"/>
              <w:right w:w="16" w:type="dxa"/>
            </w:tcMar>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建设性质</w:t>
            </w:r>
          </w:p>
        </w:tc>
        <w:tc>
          <w:tcPr>
            <w:tcW w:w="1726" w:type="pct"/>
            <w:gridSpan w:val="2"/>
            <w:vAlign w:val="center"/>
          </w:tcPr>
          <w:p>
            <w:pPr>
              <w:keepNext w:val="0"/>
              <w:keepLines w:val="0"/>
              <w:pageBreakBefore w:val="0"/>
              <w:suppressLineNumbers w:val="0"/>
              <w:kinsoku/>
              <w:wordWrap/>
              <w:overflowPunct/>
              <w:topLinePunct w:val="0"/>
              <w:bidi w:val="0"/>
              <w:spacing w:before="0" w:beforeAutospacing="0" w:after="0" w:afterAutospacing="0"/>
              <w:ind w:left="0" w:right="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sym w:font="Wingdings 2" w:char="00A3"/>
            </w:r>
            <w:r>
              <w:rPr>
                <w:rFonts w:hint="default" w:ascii="Times New Roman" w:hAnsi="Times New Roman" w:eastAsia="宋体" w:cs="Times New Roman"/>
                <w:color w:val="auto"/>
                <w:sz w:val="21"/>
                <w:szCs w:val="21"/>
                <w:highlight w:val="none"/>
              </w:rPr>
              <w:t>新建（迁建）</w:t>
            </w:r>
          </w:p>
          <w:p>
            <w:pPr>
              <w:keepNext w:val="0"/>
              <w:keepLines w:val="0"/>
              <w:pageBreakBefore w:val="0"/>
              <w:suppressLineNumbers w:val="0"/>
              <w:kinsoku/>
              <w:wordWrap/>
              <w:overflowPunct/>
              <w:topLinePunct w:val="0"/>
              <w:bidi w:val="0"/>
              <w:spacing w:before="0" w:beforeAutospacing="0" w:after="0" w:afterAutospacing="0"/>
              <w:ind w:left="0" w:right="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sym w:font="Wingdings 2" w:char="00A3"/>
            </w:r>
            <w:r>
              <w:rPr>
                <w:rFonts w:hint="default" w:ascii="Times New Roman" w:hAnsi="Times New Roman" w:eastAsia="宋体" w:cs="Times New Roman"/>
                <w:color w:val="auto"/>
                <w:sz w:val="21"/>
                <w:szCs w:val="21"/>
                <w:highlight w:val="none"/>
              </w:rPr>
              <w:t>改建</w:t>
            </w:r>
          </w:p>
          <w:p>
            <w:pPr>
              <w:keepNext w:val="0"/>
              <w:keepLines w:val="0"/>
              <w:pageBreakBefore w:val="0"/>
              <w:suppressLineNumbers w:val="0"/>
              <w:kinsoku/>
              <w:wordWrap/>
              <w:overflowPunct/>
              <w:topLinePunct w:val="0"/>
              <w:bidi w:val="0"/>
              <w:spacing w:before="0" w:beforeAutospacing="0" w:after="0" w:afterAutospacing="0"/>
              <w:ind w:left="0" w:right="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rPr>
              <w:t>扩建</w:t>
            </w:r>
          </w:p>
          <w:p>
            <w:pPr>
              <w:pageBreakBefore w:val="0"/>
              <w:kinsoku/>
              <w:wordWrap/>
              <w:overflowPunct/>
              <w:topLinePunct w:val="0"/>
              <w:bidi w:val="0"/>
              <w:ind w:firstLine="0" w:firstLineChars="0"/>
              <w:jc w:val="left"/>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rPr>
              <w:sym w:font="Wingdings 2" w:char="00A3"/>
            </w:r>
            <w:r>
              <w:rPr>
                <w:rFonts w:hint="default" w:ascii="Times New Roman" w:hAnsi="Times New Roman" w:eastAsia="宋体" w:cs="Times New Roman"/>
                <w:color w:val="auto"/>
                <w:sz w:val="21"/>
                <w:szCs w:val="21"/>
                <w:highlight w:val="none"/>
              </w:rPr>
              <w:t>技术改造</w:t>
            </w:r>
          </w:p>
        </w:tc>
        <w:tc>
          <w:tcPr>
            <w:tcW w:w="1005" w:type="pct"/>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1584" w:type="pct"/>
            <w:vAlign w:val="center"/>
          </w:tcPr>
          <w:p>
            <w:pPr>
              <w:keepNext w:val="0"/>
              <w:keepLines w:val="0"/>
              <w:pageBreakBefore w:val="0"/>
              <w:suppressLineNumbers w:val="0"/>
              <w:kinsoku/>
              <w:wordWrap/>
              <w:overflowPunct/>
              <w:topLinePunct w:val="0"/>
              <w:bidi w:val="0"/>
              <w:spacing w:before="0" w:beforeAutospacing="0" w:after="0" w:afterAutospacing="0"/>
              <w:ind w:left="0" w:right="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sym w:font="Wingdings 2" w:char="0052"/>
            </w:r>
            <w:r>
              <w:rPr>
                <w:rFonts w:hint="default" w:ascii="Times New Roman" w:hAnsi="Times New Roman" w:eastAsia="宋体" w:cs="Times New Roman"/>
                <w:color w:val="auto"/>
                <w:sz w:val="21"/>
                <w:szCs w:val="21"/>
                <w:highlight w:val="none"/>
              </w:rPr>
              <w:t>首次申报项目</w:t>
            </w:r>
          </w:p>
          <w:p>
            <w:pPr>
              <w:keepNext w:val="0"/>
              <w:keepLines w:val="0"/>
              <w:pageBreakBefore w:val="0"/>
              <w:suppressLineNumbers w:val="0"/>
              <w:kinsoku/>
              <w:wordWrap/>
              <w:overflowPunct/>
              <w:topLinePunct w:val="0"/>
              <w:bidi w:val="0"/>
              <w:spacing w:before="0" w:beforeAutospacing="0" w:after="0" w:afterAutospacing="0"/>
              <w:ind w:left="0" w:right="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sym w:font="Wingdings 2" w:char="00A3"/>
            </w:r>
            <w:r>
              <w:rPr>
                <w:rFonts w:hint="default" w:ascii="Times New Roman" w:hAnsi="Times New Roman" w:eastAsia="宋体" w:cs="Times New Roman"/>
                <w:color w:val="auto"/>
                <w:sz w:val="21"/>
                <w:szCs w:val="21"/>
                <w:highlight w:val="none"/>
              </w:rPr>
              <w:t>不予批准后再次申报项目</w:t>
            </w:r>
          </w:p>
          <w:p>
            <w:pPr>
              <w:keepNext w:val="0"/>
              <w:keepLines w:val="0"/>
              <w:pageBreakBefore w:val="0"/>
              <w:suppressLineNumbers w:val="0"/>
              <w:kinsoku/>
              <w:wordWrap/>
              <w:overflowPunct/>
              <w:topLinePunct w:val="0"/>
              <w:bidi w:val="0"/>
              <w:spacing w:before="0" w:beforeAutospacing="0" w:after="0" w:afterAutospacing="0"/>
              <w:ind w:left="0" w:right="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sym w:font="Wingdings 2" w:char="00A3"/>
            </w:r>
            <w:r>
              <w:rPr>
                <w:rFonts w:hint="default" w:ascii="Times New Roman" w:hAnsi="Times New Roman" w:eastAsia="宋体" w:cs="Times New Roman"/>
                <w:color w:val="auto"/>
                <w:sz w:val="21"/>
                <w:szCs w:val="21"/>
                <w:highlight w:val="none"/>
              </w:rPr>
              <w:t>超五年重新审核项目</w:t>
            </w:r>
          </w:p>
          <w:p>
            <w:pPr>
              <w:pageBreakBefore w:val="0"/>
              <w:kinsoku/>
              <w:wordWrap/>
              <w:overflowPunct/>
              <w:topLinePunct w:val="0"/>
              <w:bidi w:val="0"/>
              <w:ind w:firstLine="0" w:firstLineChars="0"/>
              <w:jc w:val="left"/>
              <w:rPr>
                <w:rFonts w:hint="default" w:ascii="Times New Roman" w:hAnsi="Times New Roman" w:cs="Times New Roman"/>
                <w:color w:val="auto"/>
                <w:szCs w:val="21"/>
              </w:rPr>
            </w:pPr>
            <w:r>
              <w:rPr>
                <w:rFonts w:hint="default" w:ascii="Times New Roman" w:hAnsi="Times New Roman" w:eastAsia="宋体" w:cs="Times New Roman"/>
                <w:color w:val="auto"/>
                <w:sz w:val="21"/>
                <w:szCs w:val="21"/>
                <w:highlight w:val="none"/>
              </w:rPr>
              <w:sym w:font="Wingdings 2" w:char="00A3"/>
            </w:r>
            <w:r>
              <w:rPr>
                <w:rFonts w:hint="default" w:ascii="Times New Roman" w:hAnsi="Times New Roman" w:eastAsia="宋体" w:cs="Times New Roman"/>
                <w:color w:val="auto"/>
                <w:sz w:val="21"/>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683" w:type="pct"/>
            <w:tcMar>
              <w:top w:w="16" w:type="dxa"/>
              <w:left w:w="16" w:type="dxa"/>
              <w:right w:w="16" w:type="dxa"/>
            </w:tcMar>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备案）部门（选填）</w:t>
            </w:r>
          </w:p>
        </w:tc>
        <w:tc>
          <w:tcPr>
            <w:tcW w:w="1726" w:type="pct"/>
            <w:gridSpan w:val="2"/>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澄江市发展和改革局</w:t>
            </w:r>
          </w:p>
        </w:tc>
        <w:tc>
          <w:tcPr>
            <w:tcW w:w="1005" w:type="pct"/>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备案）文号（选填）</w:t>
            </w:r>
          </w:p>
        </w:tc>
        <w:tc>
          <w:tcPr>
            <w:tcW w:w="1584" w:type="pct"/>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2402-530422-04-02-211454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683" w:type="pct"/>
            <w:tcMar>
              <w:top w:w="16" w:type="dxa"/>
              <w:left w:w="16" w:type="dxa"/>
              <w:right w:w="16" w:type="dxa"/>
            </w:tcMar>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总投资（万元）</w:t>
            </w:r>
          </w:p>
        </w:tc>
        <w:tc>
          <w:tcPr>
            <w:tcW w:w="1726" w:type="pct"/>
            <w:gridSpan w:val="2"/>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2000</w:t>
            </w:r>
          </w:p>
        </w:tc>
        <w:tc>
          <w:tcPr>
            <w:tcW w:w="1005" w:type="pct"/>
            <w:tcMar>
              <w:top w:w="16" w:type="dxa"/>
              <w:left w:w="16" w:type="dxa"/>
              <w:right w:w="16" w:type="dxa"/>
            </w:tcMar>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1584" w:type="pct"/>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eastAsiaTheme="minorEastAsia"/>
                <w:color w:val="auto"/>
                <w:szCs w:val="21"/>
                <w:highlight w:val="none"/>
                <w:lang w:val="en-US" w:eastAsia="zh-CN"/>
              </w:rPr>
              <w:t>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683" w:type="pct"/>
            <w:tcMar>
              <w:top w:w="16" w:type="dxa"/>
              <w:left w:w="16" w:type="dxa"/>
              <w:right w:w="16" w:type="dxa"/>
            </w:tcMar>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环保投资占比（%）</w:t>
            </w:r>
          </w:p>
        </w:tc>
        <w:tc>
          <w:tcPr>
            <w:tcW w:w="1726" w:type="pct"/>
            <w:gridSpan w:val="2"/>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highlight w:val="none"/>
                <w:lang w:val="en-US" w:eastAsia="zh-CN"/>
              </w:rPr>
              <w:t>0.65</w:t>
            </w:r>
          </w:p>
        </w:tc>
        <w:tc>
          <w:tcPr>
            <w:tcW w:w="1005" w:type="pct"/>
            <w:tcMar>
              <w:top w:w="16" w:type="dxa"/>
              <w:left w:w="16" w:type="dxa"/>
              <w:right w:w="16" w:type="dxa"/>
            </w:tcMar>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1584" w:type="pct"/>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683" w:type="pct"/>
            <w:tcMar>
              <w:top w:w="16" w:type="dxa"/>
              <w:left w:w="16" w:type="dxa"/>
              <w:right w:w="16" w:type="dxa"/>
            </w:tcMar>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是否开工建设</w:t>
            </w:r>
          </w:p>
        </w:tc>
        <w:tc>
          <w:tcPr>
            <w:tcW w:w="1726" w:type="pct"/>
            <w:gridSpan w:val="2"/>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pageBreakBefore w:val="0"/>
              <w:kinsoku/>
              <w:wordWrap/>
              <w:overflowPunct/>
              <w:topLinePunct w:val="0"/>
              <w:bidi w:val="0"/>
              <w:adjustRightInd w:val="0"/>
              <w:snapToGrid w:val="0"/>
              <w:ind w:firstLine="0" w:firstLineChars="0"/>
              <w:rPr>
                <w:rFonts w:hint="default" w:ascii="Times New Roman" w:hAnsi="Times New Roman" w:cs="Times New Roman"/>
                <w:color w:val="auto"/>
                <w:szCs w:val="21"/>
              </w:rPr>
            </w:pPr>
            <w:r>
              <w:rPr>
                <w:rFonts w:hint="default" w:ascii="Times New Roman" w:hAnsi="Times New Roman" w:eastAsia="宋体" w:cs="Times New Roman"/>
                <w:color w:val="auto"/>
                <w:sz w:val="24"/>
                <w:szCs w:val="24"/>
                <w:highlight w:val="none"/>
                <w:lang w:eastAsia="zh-CN"/>
              </w:rPr>
              <w:sym w:font="Wingdings 2" w:char="00A3"/>
            </w:r>
            <w:r>
              <w:rPr>
                <w:rFonts w:hint="default" w:ascii="Times New Roman" w:hAnsi="Times New Roman" w:eastAsia="宋体" w:cs="Times New Roman"/>
                <w:color w:val="auto"/>
                <w:sz w:val="24"/>
                <w:szCs w:val="24"/>
                <w:highlight w:val="none"/>
              </w:rPr>
              <w:t>是：</w:t>
            </w:r>
          </w:p>
        </w:tc>
        <w:tc>
          <w:tcPr>
            <w:tcW w:w="1005" w:type="pct"/>
            <w:tcMar>
              <w:top w:w="16" w:type="dxa"/>
              <w:left w:w="16" w:type="dxa"/>
              <w:right w:w="16" w:type="dxa"/>
            </w:tcMar>
            <w:vAlign w:val="center"/>
          </w:tcPr>
          <w:p>
            <w:pPr>
              <w:pageBreakBefore w:val="0"/>
              <w:kinsoku/>
              <w:wordWrap/>
              <w:overflowPunct/>
              <w:topLinePunct w:val="0"/>
              <w:bidi w:val="0"/>
              <w:adjustRightInd w:val="0"/>
              <w:snapToGrid w:val="0"/>
              <w:ind w:firstLine="0" w:firstLineChars="0"/>
              <w:rPr>
                <w:rFonts w:hint="default" w:ascii="Times New Roman" w:hAnsi="Times New Roman" w:cs="Times New Roman"/>
                <w:color w:val="auto"/>
                <w:szCs w:val="21"/>
              </w:rPr>
            </w:pPr>
            <w:r>
              <w:rPr>
                <w:rFonts w:hint="default" w:ascii="Times New Roman" w:hAnsi="Times New Roman" w:cs="Times New Roman"/>
                <w:color w:val="auto"/>
                <w:spacing w:val="-6"/>
                <w:szCs w:val="21"/>
              </w:rPr>
              <w:t>用地面积（</w:t>
            </w:r>
            <w:r>
              <w:rPr>
                <w:rFonts w:hint="default" w:ascii="Times New Roman" w:hAnsi="Times New Roman" w:cs="Times New Roman"/>
                <w:color w:val="auto"/>
                <w:spacing w:val="-6"/>
                <w:szCs w:val="21"/>
                <w:lang w:eastAsia="zh-CN"/>
              </w:rPr>
              <w:t>㎡</w:t>
            </w:r>
            <w:r>
              <w:rPr>
                <w:rFonts w:hint="default" w:ascii="Times New Roman" w:hAnsi="Times New Roman" w:cs="Times New Roman"/>
                <w:color w:val="auto"/>
                <w:spacing w:val="-6"/>
                <w:szCs w:val="21"/>
              </w:rPr>
              <w:t>）</w:t>
            </w:r>
          </w:p>
        </w:tc>
        <w:tc>
          <w:tcPr>
            <w:tcW w:w="1584" w:type="pct"/>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83" w:type="pct"/>
            <w:vAlign w:val="center"/>
          </w:tcPr>
          <w:p>
            <w:pPr>
              <w:pageBreakBefore w:val="0"/>
              <w:kinsoku/>
              <w:wordWrap/>
              <w:overflowPunct/>
              <w:topLinePunct w:val="0"/>
              <w:autoSpaceDE w:val="0"/>
              <w:autoSpaceDN w:val="0"/>
              <w:bidi w:val="0"/>
              <w:adjustRightInd w:val="0"/>
              <w:snapToGrid w:val="0"/>
              <w:ind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专项评价设置情况</w:t>
            </w:r>
          </w:p>
        </w:tc>
        <w:tc>
          <w:tcPr>
            <w:tcW w:w="4316" w:type="pct"/>
            <w:gridSpan w:val="4"/>
            <w:vAlign w:val="center"/>
          </w:tcPr>
          <w:p>
            <w:pPr>
              <w:pageBreakBefore w:val="0"/>
              <w:kinsoku/>
              <w:wordWrap/>
              <w:overflowPunct/>
              <w:topLinePunct w:val="0"/>
              <w:autoSpaceDE w:val="0"/>
              <w:autoSpaceDN w:val="0"/>
              <w:bidi w:val="0"/>
              <w:spacing w:line="360" w:lineRule="auto"/>
              <w:ind w:firstLine="48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根据《建设项目环境影响报告表编制技术指南（污染影响类）》（试行），</w:t>
            </w:r>
            <w:r>
              <w:rPr>
                <w:rFonts w:hint="default" w:ascii="Times New Roman" w:hAnsi="Times New Roman" w:cs="Times New Roman"/>
                <w:b/>
                <w:bCs/>
                <w:color w:val="auto"/>
                <w:kern w:val="0"/>
                <w:szCs w:val="21"/>
              </w:rPr>
              <w:t>本项目无须开展环境影响专项评价</w:t>
            </w:r>
            <w:r>
              <w:rPr>
                <w:rFonts w:hint="default" w:ascii="Times New Roman" w:hAnsi="Times New Roman" w:cs="Times New Roman"/>
                <w:color w:val="auto"/>
                <w:kern w:val="0"/>
                <w:szCs w:val="21"/>
              </w:rPr>
              <w:t>，具体专项评价设置原则及本项目判定情况见下表。</w:t>
            </w:r>
          </w:p>
          <w:p>
            <w:pPr>
              <w:pStyle w:val="36"/>
              <w:bidi w:val="0"/>
              <w:rPr>
                <w:rFonts w:hint="default" w:ascii="Times New Roman" w:hAnsi="Times New Roman" w:cs="Times New Roman"/>
              </w:rPr>
            </w:pPr>
            <w:r>
              <w:rPr>
                <w:rFonts w:hint="default" w:ascii="Times New Roman" w:hAnsi="Times New Roman" w:cs="Times New Roman"/>
              </w:rPr>
              <w:t>表1-1项目专项评价判定表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47"/>
              <w:gridCol w:w="3006"/>
              <w:gridCol w:w="3122"/>
              <w:gridCol w:w="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7"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3006"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设置原则</w:t>
                  </w:r>
                </w:p>
              </w:tc>
              <w:tc>
                <w:tcPr>
                  <w:tcW w:w="3122"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项目情况</w:t>
                  </w:r>
                </w:p>
              </w:tc>
              <w:tc>
                <w:tcPr>
                  <w:tcW w:w="603"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是否设置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7"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tc>
              <w:tc>
                <w:tcPr>
                  <w:tcW w:w="3006"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排放废气含有毒有害污染物</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、二噁英、苯并[α]芘、氰化物、氯气且厂界外500米范围内有环境空气保护目标</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的建设项目</w:t>
                  </w:r>
                </w:p>
              </w:tc>
              <w:tc>
                <w:tcPr>
                  <w:tcW w:w="3122"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项目排放废气主要为挥发性有机物（以非甲烷总烃表征）、甲苯、二甲苯，不属于《有毒有害大气污染物名录》中的污染物</w:t>
                  </w:r>
                </w:p>
              </w:tc>
              <w:tc>
                <w:tcPr>
                  <w:tcW w:w="603"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7"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3006"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新增工业废水直排建设项目（槽罐车外送污水处理厂的除外）；新增废水直排的污水集中处理厂</w:t>
                  </w:r>
                </w:p>
              </w:tc>
              <w:tc>
                <w:tcPr>
                  <w:tcW w:w="3122"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本项目生产用水循环使用，生活污水全部收集、处理后回用，不外排</w:t>
                  </w:r>
                </w:p>
              </w:tc>
              <w:tc>
                <w:tcPr>
                  <w:tcW w:w="603"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7"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w:t>
                  </w:r>
                </w:p>
              </w:tc>
              <w:tc>
                <w:tcPr>
                  <w:tcW w:w="3006"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有毒有害和易燃易爆危险物质存储量超过临界量</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的建设项目</w:t>
                  </w:r>
                </w:p>
              </w:tc>
              <w:tc>
                <w:tcPr>
                  <w:tcW w:w="3122"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项目有毒有害和易燃易爆危险物质存储量未超过临界量</w:t>
                  </w:r>
                  <w:r>
                    <w:rPr>
                      <w:rFonts w:hint="default" w:ascii="Times New Roman" w:hAnsi="Times New Roman" w:cs="Times New Roman"/>
                      <w:color w:val="auto"/>
                      <w:sz w:val="21"/>
                      <w:szCs w:val="21"/>
                      <w:vertAlign w:val="superscript"/>
                    </w:rPr>
                    <w:t>3</w:t>
                  </w:r>
                </w:p>
              </w:tc>
              <w:tc>
                <w:tcPr>
                  <w:tcW w:w="603"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7"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w:t>
                  </w:r>
                </w:p>
              </w:tc>
              <w:tc>
                <w:tcPr>
                  <w:tcW w:w="3006"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取水口下游500米范围内有重要水生生物的自然产卵场、索饵场、越冬场和洄游通道的新增河道取水的污染类建设项目</w:t>
                  </w:r>
                </w:p>
              </w:tc>
              <w:tc>
                <w:tcPr>
                  <w:tcW w:w="3122"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项目不涉及河道等地表水取水活动</w:t>
                  </w:r>
                </w:p>
              </w:tc>
              <w:tc>
                <w:tcPr>
                  <w:tcW w:w="603"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7"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海洋</w:t>
                  </w:r>
                </w:p>
              </w:tc>
              <w:tc>
                <w:tcPr>
                  <w:tcW w:w="3006"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直接向海排放污染物的海洋工程建设项目</w:t>
                  </w:r>
                </w:p>
              </w:tc>
              <w:tc>
                <w:tcPr>
                  <w:tcW w:w="3122"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项目不属于海洋工程</w:t>
                  </w:r>
                </w:p>
              </w:tc>
              <w:tc>
                <w:tcPr>
                  <w:tcW w:w="603" w:type="dxa"/>
                  <w:vAlign w:val="center"/>
                </w:tcPr>
                <w:p>
                  <w:pPr>
                    <w:pageBreakBefore w:val="0"/>
                    <w:kinsoku/>
                    <w:wordWrap/>
                    <w:overflowPunct/>
                    <w:topLinePunct w:val="0"/>
                    <w:autoSpaceDE w:val="0"/>
                    <w:autoSpaceDN w:val="0"/>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378" w:type="dxa"/>
                  <w:gridSpan w:val="4"/>
                  <w:vAlign w:val="center"/>
                </w:tcPr>
                <w:p>
                  <w:pPr>
                    <w:pageBreakBefore w:val="0"/>
                    <w:kinsoku/>
                    <w:wordWrap/>
                    <w:overflowPunct/>
                    <w:topLinePunct w:val="0"/>
                    <w:autoSpaceDE w:val="0"/>
                    <w:autoSpaceDN w:val="0"/>
                    <w:bidi w:val="0"/>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注：1.废气中有毒有害污染物指纳入《有毒有害大气污染物名录》的污染物（不包括无排放标准的污染物）。</w:t>
                  </w:r>
                </w:p>
                <w:p>
                  <w:pPr>
                    <w:pageBreakBefore w:val="0"/>
                    <w:kinsoku/>
                    <w:wordWrap/>
                    <w:overflowPunct/>
                    <w:topLinePunct w:val="0"/>
                    <w:autoSpaceDE w:val="0"/>
                    <w:autoSpaceDN w:val="0"/>
                    <w:bidi w:val="0"/>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2.环境空气保护目标指自然保护区、风景名胜区、居住区、文化区和农村地区中人群较集中的区域。</w:t>
                  </w:r>
                </w:p>
                <w:p>
                  <w:pPr>
                    <w:pageBreakBefore w:val="0"/>
                    <w:kinsoku/>
                    <w:wordWrap/>
                    <w:overflowPunct/>
                    <w:topLinePunct w:val="0"/>
                    <w:autoSpaceDE w:val="0"/>
                    <w:autoSpaceDN w:val="0"/>
                    <w:bidi w:val="0"/>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3.临界量及其计算方法可参考《建设项目环境风险评价技术导则》（HJ169）附录B、附录C</w:t>
                  </w:r>
                </w:p>
              </w:tc>
            </w:tr>
          </w:tbl>
          <w:p>
            <w:pPr>
              <w:pageBreakBefore w:val="0"/>
              <w:kinsoku/>
              <w:wordWrap/>
              <w:overflowPunct/>
              <w:topLinePunct w:val="0"/>
              <w:autoSpaceDE w:val="0"/>
              <w:autoSpaceDN w:val="0"/>
              <w:bidi w:val="0"/>
              <w:adjustRightInd w:val="0"/>
              <w:snapToGrid w:val="0"/>
              <w:ind w:firstLine="0" w:firstLineChars="0"/>
              <w:jc w:val="center"/>
              <w:rPr>
                <w:rFonts w:hint="default"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683" w:type="pct"/>
            <w:vAlign w:val="center"/>
          </w:tcPr>
          <w:p>
            <w:pPr>
              <w:pageBreakBefore w:val="0"/>
              <w:kinsoku/>
              <w:wordWrap/>
              <w:overflowPunct/>
              <w:topLinePunct w:val="0"/>
              <w:autoSpaceDE w:val="0"/>
              <w:autoSpaceDN w:val="0"/>
              <w:bidi w:val="0"/>
              <w:adjustRightInd w:val="0"/>
              <w:snapToGrid w:val="0"/>
              <w:ind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规划情况</w:t>
            </w:r>
          </w:p>
        </w:tc>
        <w:tc>
          <w:tcPr>
            <w:tcW w:w="4316" w:type="pct"/>
            <w:gridSpan w:val="4"/>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（1）规划文件名称：《</w:t>
            </w:r>
            <w:r>
              <w:rPr>
                <w:rFonts w:hint="default" w:ascii="Times New Roman" w:hAnsi="Times New Roman" w:cs="Times New Roman"/>
                <w:bCs/>
                <w:color w:val="auto"/>
                <w:szCs w:val="21"/>
                <w:lang w:eastAsia="zh-CN"/>
              </w:rPr>
              <w:t>云南澄江产业园区</w:t>
            </w:r>
            <w:r>
              <w:rPr>
                <w:rFonts w:hint="default" w:ascii="Times New Roman" w:hAnsi="Times New Roman" w:cs="Times New Roman"/>
                <w:bCs/>
                <w:color w:val="auto"/>
                <w:szCs w:val="21"/>
              </w:rPr>
              <w:t>总体规划〔修编〕（2021-203</w:t>
            </w:r>
            <w:r>
              <w:rPr>
                <w:rFonts w:hint="default" w:ascii="Times New Roman" w:hAnsi="Times New Roman" w:cs="Times New Roman"/>
                <w:bCs/>
                <w:color w:val="auto"/>
                <w:szCs w:val="21"/>
                <w:lang w:val="en-US" w:eastAsia="zh-CN"/>
              </w:rPr>
              <w:t>5</w:t>
            </w:r>
            <w:r>
              <w:rPr>
                <w:rFonts w:hint="default" w:ascii="Times New Roman" w:hAnsi="Times New Roman" w:cs="Times New Roman"/>
                <w:bCs/>
                <w:color w:val="auto"/>
                <w:szCs w:val="21"/>
              </w:rPr>
              <w:t>）》</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（2）发布机关：玉溪市人民政府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3" w:type="pct"/>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规划环境影响</w:t>
            </w:r>
          </w:p>
          <w:p>
            <w:pPr>
              <w:pageBreakBefore w:val="0"/>
              <w:kinsoku/>
              <w:wordWrap/>
              <w:overflowPunct/>
              <w:topLinePunct w:val="0"/>
              <w:bidi w:val="0"/>
              <w:adjustRightInd w:val="0"/>
              <w:snapToGrid w:val="0"/>
              <w:ind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评价情况</w:t>
            </w:r>
          </w:p>
        </w:tc>
        <w:tc>
          <w:tcPr>
            <w:tcW w:w="4316" w:type="pct"/>
            <w:gridSpan w:val="4"/>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（1）规划环境影响评价报告名称：《云南澄江产业园区总体规划【修编】（2021-2035）环境影响报告书》；</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（2）审批机关：玉溪市生态环境局；</w:t>
            </w:r>
          </w:p>
          <w:p>
            <w:pPr>
              <w:pStyle w:val="65"/>
              <w:keepNext w:val="0"/>
              <w:keepLines w:val="0"/>
              <w:pageBreakBefore w:val="0"/>
              <w:widowControl w:val="0"/>
              <w:kinsoku/>
              <w:wordWrap/>
              <w:overflowPunct/>
              <w:topLinePunct w:val="0"/>
              <w:bidi w:val="0"/>
              <w:adjustRightInd/>
              <w:snapToGrid w:val="0"/>
              <w:spacing w:before="0" w:after="0" w:line="360" w:lineRule="auto"/>
              <w:ind w:firstLine="480" w:firstLineChars="200"/>
              <w:jc w:val="both"/>
              <w:textAlignment w:val="auto"/>
              <w:rPr>
                <w:rFonts w:hint="default" w:ascii="Times New Roman" w:hAnsi="Times New Roman" w:cs="Times New Roman"/>
                <w:bCs/>
                <w:color w:val="auto"/>
                <w:szCs w:val="21"/>
              </w:rPr>
            </w:pPr>
            <w:r>
              <w:rPr>
                <w:rFonts w:hint="default" w:ascii="Times New Roman" w:hAnsi="Times New Roman" w:cs="Times New Roman"/>
                <w:b w:val="0"/>
                <w:bCs/>
                <w:color w:val="auto"/>
                <w:szCs w:val="21"/>
              </w:rPr>
              <w:t>（3）审查文件名称及文号：《关于</w:t>
            </w:r>
            <w:r>
              <w:rPr>
                <w:rFonts w:hint="default" w:ascii="Times New Roman" w:hAnsi="Times New Roman" w:cs="Times New Roman"/>
                <w:b w:val="0"/>
                <w:bCs/>
                <w:color w:val="auto"/>
                <w:szCs w:val="21"/>
                <w:lang w:eastAsia="zh-CN"/>
              </w:rPr>
              <w:t>云南澄江产业园区</w:t>
            </w:r>
            <w:r>
              <w:rPr>
                <w:rFonts w:hint="default" w:ascii="Times New Roman" w:hAnsi="Times New Roman" w:cs="Times New Roman"/>
                <w:b w:val="0"/>
                <w:bCs/>
                <w:color w:val="auto"/>
                <w:szCs w:val="21"/>
              </w:rPr>
              <w:t>总体规划修编（2021-2035）环境影响报告书审查意见》。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3" w:type="pct"/>
            <w:vAlign w:val="center"/>
          </w:tcPr>
          <w:p>
            <w:pPr>
              <w:pageBreakBefore w:val="0"/>
              <w:kinsoku/>
              <w:wordWrap/>
              <w:overflowPunct/>
              <w:topLinePunct w:val="0"/>
              <w:autoSpaceDE w:val="0"/>
              <w:autoSpaceDN w:val="0"/>
              <w:bidi w:val="0"/>
              <w:adjustRightInd w:val="0"/>
              <w:snapToGrid w:val="0"/>
              <w:ind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规划及规划环境</w:t>
            </w:r>
          </w:p>
          <w:p>
            <w:pPr>
              <w:pageBreakBefore w:val="0"/>
              <w:kinsoku/>
              <w:wordWrap/>
              <w:overflowPunct/>
              <w:topLinePunct w:val="0"/>
              <w:autoSpaceDE w:val="0"/>
              <w:autoSpaceDN w:val="0"/>
              <w:bidi w:val="0"/>
              <w:adjustRightInd w:val="0"/>
              <w:snapToGrid w:val="0"/>
              <w:ind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影响评价符合性分析</w:t>
            </w:r>
          </w:p>
        </w:tc>
        <w:tc>
          <w:tcPr>
            <w:tcW w:w="4316" w:type="pct"/>
            <w:gridSpan w:val="4"/>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482" w:firstLineChars="200"/>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1、与</w:t>
            </w:r>
            <w:r>
              <w:rPr>
                <w:rFonts w:hint="default" w:ascii="Times New Roman" w:hAnsi="Times New Roman" w:cs="Times New Roman" w:eastAsiaTheme="minorEastAsia"/>
                <w:b/>
                <w:bCs/>
                <w:color w:val="auto"/>
                <w:szCs w:val="21"/>
                <w:lang w:eastAsia="zh-CN"/>
              </w:rPr>
              <w:t>云南澄江产业园区</w:t>
            </w:r>
            <w:r>
              <w:rPr>
                <w:rFonts w:hint="default" w:ascii="Times New Roman" w:hAnsi="Times New Roman" w:cs="Times New Roman" w:eastAsiaTheme="minorEastAsia"/>
                <w:b/>
                <w:bCs/>
                <w:color w:val="auto"/>
                <w:szCs w:val="21"/>
              </w:rPr>
              <w:t>规划符合性分析</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根据《</w:t>
            </w:r>
            <w:r>
              <w:rPr>
                <w:rFonts w:hint="default" w:ascii="Times New Roman" w:hAnsi="Times New Roman" w:cs="Times New Roman" w:eastAsiaTheme="minorEastAsia"/>
                <w:color w:val="auto"/>
                <w:szCs w:val="21"/>
                <w:lang w:eastAsia="zh-CN"/>
              </w:rPr>
              <w:t>云南澄江产业园区</w:t>
            </w:r>
            <w:r>
              <w:rPr>
                <w:rFonts w:hint="default" w:ascii="Times New Roman" w:hAnsi="Times New Roman" w:cs="Times New Roman" w:eastAsiaTheme="minorEastAsia"/>
                <w:color w:val="auto"/>
                <w:szCs w:val="21"/>
              </w:rPr>
              <w:t>总体规划[修编]</w:t>
            </w:r>
            <w:r>
              <w:rPr>
                <w:rFonts w:hint="default" w:ascii="Times New Roman" w:hAnsi="Times New Roman" w:cs="Times New Roman" w:eastAsiaTheme="minorEastAsia"/>
                <w:color w:val="auto"/>
                <w:szCs w:val="21"/>
                <w:lang w:eastAsia="zh-CN"/>
              </w:rPr>
              <w:t>（</w:t>
            </w:r>
            <w:r>
              <w:rPr>
                <w:rFonts w:hint="default" w:ascii="Times New Roman" w:hAnsi="Times New Roman" w:cs="Times New Roman" w:eastAsiaTheme="minorEastAsia"/>
                <w:color w:val="auto"/>
                <w:szCs w:val="21"/>
              </w:rPr>
              <w:t>2021-2035》，</w:t>
            </w:r>
            <w:r>
              <w:rPr>
                <w:rFonts w:hint="default" w:ascii="Times New Roman" w:hAnsi="Times New Roman" w:cs="Times New Roman" w:eastAsiaTheme="minorEastAsia"/>
                <w:color w:val="auto"/>
                <w:szCs w:val="21"/>
                <w:lang w:eastAsia="zh-CN"/>
              </w:rPr>
              <w:t>云南澄江产业园区</w:t>
            </w:r>
            <w:r>
              <w:rPr>
                <w:rFonts w:hint="default" w:ascii="Times New Roman" w:hAnsi="Times New Roman" w:cs="Times New Roman" w:eastAsiaTheme="minorEastAsia"/>
                <w:color w:val="auto"/>
                <w:szCs w:val="21"/>
              </w:rPr>
              <w:t>规划为“一园三片”的空间结构形式：一园：</w:t>
            </w:r>
            <w:r>
              <w:rPr>
                <w:rFonts w:hint="default" w:ascii="Times New Roman" w:hAnsi="Times New Roman" w:cs="Times New Roman" w:eastAsiaTheme="minorEastAsia"/>
                <w:color w:val="auto"/>
                <w:szCs w:val="21"/>
                <w:lang w:eastAsia="zh-CN"/>
              </w:rPr>
              <w:t>云南澄江产业园区</w:t>
            </w:r>
            <w:r>
              <w:rPr>
                <w:rFonts w:hint="default" w:ascii="Times New Roman" w:hAnsi="Times New Roman" w:cs="Times New Roman" w:eastAsiaTheme="minorEastAsia"/>
                <w:color w:val="auto"/>
                <w:szCs w:val="21"/>
              </w:rPr>
              <w:t>，三片：蛟龙潭片区、东溪哨片区、提古片区。其中提古片区规划面积0.84平方公里（84.03公顷），规划范围为澄马公路东西两侧以及呈澄高速东侧区域范围内。</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本项目位于</w:t>
            </w:r>
            <w:r>
              <w:rPr>
                <w:rFonts w:hint="default" w:ascii="Times New Roman" w:hAnsi="Times New Roman" w:cs="Times New Roman" w:eastAsiaTheme="minorEastAsia"/>
                <w:color w:val="auto"/>
                <w:szCs w:val="21"/>
                <w:lang w:eastAsia="zh-CN"/>
              </w:rPr>
              <w:t>云南澄江产业园区</w:t>
            </w:r>
            <w:r>
              <w:rPr>
                <w:rFonts w:hint="default" w:ascii="Times New Roman" w:hAnsi="Times New Roman" w:cs="Times New Roman" w:eastAsiaTheme="minorEastAsia"/>
                <w:color w:val="auto"/>
                <w:szCs w:val="21"/>
              </w:rPr>
              <w:t>提古片区，根据《</w:t>
            </w:r>
            <w:r>
              <w:rPr>
                <w:rFonts w:hint="default" w:ascii="Times New Roman" w:hAnsi="Times New Roman" w:cs="Times New Roman" w:eastAsiaTheme="minorEastAsia"/>
                <w:color w:val="auto"/>
                <w:szCs w:val="21"/>
                <w:lang w:eastAsia="zh-CN"/>
              </w:rPr>
              <w:t>云南澄江产业园区</w:t>
            </w:r>
            <w:r>
              <w:rPr>
                <w:rFonts w:hint="default" w:ascii="Times New Roman" w:hAnsi="Times New Roman" w:cs="Times New Roman" w:eastAsiaTheme="minorEastAsia"/>
                <w:color w:val="auto"/>
                <w:szCs w:val="21"/>
              </w:rPr>
              <w:t>总体规划[修编]（2021-2035）》中提古片区的功能定位为：主要发展生物资源加工产业，</w:t>
            </w:r>
            <w:r>
              <w:rPr>
                <w:rFonts w:hint="default" w:ascii="Times New Roman" w:hAnsi="Times New Roman" w:cs="Times New Roman" w:eastAsiaTheme="minorEastAsia"/>
                <w:color w:val="auto"/>
                <w:kern w:val="0"/>
                <w:szCs w:val="21"/>
              </w:rPr>
              <w:t>严禁《产业结构调整指导目录（</w:t>
            </w:r>
            <w:r>
              <w:rPr>
                <w:rFonts w:hint="default" w:ascii="Times New Roman" w:hAnsi="Times New Roman" w:cs="Times New Roman" w:eastAsiaTheme="minorEastAsia"/>
                <w:color w:val="auto"/>
                <w:kern w:val="0"/>
                <w:szCs w:val="21"/>
                <w:lang w:eastAsia="zh-CN"/>
              </w:rPr>
              <w:t>2024年本</w:t>
            </w:r>
            <w:r>
              <w:rPr>
                <w:rFonts w:hint="default" w:ascii="Times New Roman" w:hAnsi="Times New Roman" w:cs="Times New Roman" w:eastAsiaTheme="minorEastAsia"/>
                <w:color w:val="auto"/>
                <w:kern w:val="0"/>
                <w:szCs w:val="21"/>
              </w:rPr>
              <w:t>）》中淘汰类及限制类项目入驻、严禁《环境保护综合名录（2021年版）》中高风险高污染项目，</w:t>
            </w:r>
            <w:r>
              <w:rPr>
                <w:rFonts w:hint="default" w:ascii="Times New Roman" w:hAnsi="Times New Roman" w:cs="Times New Roman" w:eastAsiaTheme="minorEastAsia"/>
                <w:color w:val="auto"/>
                <w:szCs w:val="21"/>
              </w:rPr>
              <w:t>本项目属于</w:t>
            </w:r>
            <w:r>
              <w:rPr>
                <w:rFonts w:hint="default" w:ascii="Times New Roman" w:hAnsi="Times New Roman" w:cs="Times New Roman" w:eastAsiaTheme="minorEastAsia"/>
                <w:color w:val="auto"/>
                <w:szCs w:val="21"/>
                <w:lang w:eastAsia="zh-CN"/>
              </w:rPr>
              <w:t>特种玻璃制造</w:t>
            </w:r>
            <w:r>
              <w:rPr>
                <w:rFonts w:hint="default" w:ascii="Times New Roman" w:hAnsi="Times New Roman" w:cs="Times New Roman" w:eastAsiaTheme="minorEastAsia"/>
                <w:color w:val="auto"/>
                <w:szCs w:val="21"/>
              </w:rPr>
              <w:t>，属于</w:t>
            </w:r>
            <w:r>
              <w:rPr>
                <w:rFonts w:hint="default" w:ascii="Times New Roman" w:hAnsi="Times New Roman" w:cs="Times New Roman" w:eastAsiaTheme="minorEastAsia"/>
                <w:color w:val="auto"/>
                <w:szCs w:val="21"/>
                <w:lang w:eastAsia="zh-CN"/>
              </w:rPr>
              <w:t>玻璃制品制造</w:t>
            </w:r>
            <w:r>
              <w:rPr>
                <w:rFonts w:hint="default" w:ascii="Times New Roman" w:hAnsi="Times New Roman" w:cs="Times New Roman" w:eastAsiaTheme="minorEastAsia"/>
                <w:color w:val="auto"/>
                <w:szCs w:val="21"/>
              </w:rPr>
              <w:t>制造业，</w:t>
            </w:r>
            <w:r>
              <w:rPr>
                <w:rFonts w:hint="default" w:ascii="Times New Roman" w:hAnsi="Times New Roman" w:cs="Times New Roman" w:eastAsiaTheme="minorEastAsia"/>
                <w:color w:val="auto"/>
                <w:szCs w:val="21"/>
                <w:lang w:eastAsia="zh-CN"/>
              </w:rPr>
              <w:t>2024年1月17日</w:t>
            </w:r>
            <w:r>
              <w:rPr>
                <w:rFonts w:hint="default" w:ascii="Times New Roman" w:hAnsi="Times New Roman" w:cs="Times New Roman" w:eastAsiaTheme="minorEastAsia"/>
                <w:color w:val="auto"/>
                <w:szCs w:val="21"/>
              </w:rPr>
              <w:t>已取得</w:t>
            </w:r>
            <w:r>
              <w:rPr>
                <w:rFonts w:hint="default" w:ascii="Times New Roman" w:hAnsi="Times New Roman" w:cs="Times New Roman" w:eastAsiaTheme="minorEastAsia"/>
                <w:color w:val="auto"/>
                <w:szCs w:val="21"/>
                <w:lang w:eastAsia="zh-CN"/>
              </w:rPr>
              <w:t>云南澄江产业园区</w:t>
            </w:r>
            <w:r>
              <w:rPr>
                <w:rFonts w:hint="default" w:ascii="Times New Roman" w:hAnsi="Times New Roman" w:cs="Times New Roman" w:eastAsiaTheme="minorEastAsia"/>
                <w:color w:val="auto"/>
                <w:szCs w:val="21"/>
              </w:rPr>
              <w:t>管理委员会出具的项目入园申请同意证明，同意证明中明确“项目符合园区规划”，同意项目入驻</w:t>
            </w:r>
            <w:r>
              <w:rPr>
                <w:rFonts w:hint="default" w:ascii="Times New Roman" w:hAnsi="Times New Roman" w:cs="Times New Roman" w:eastAsiaTheme="minorEastAsia"/>
                <w:color w:val="auto"/>
                <w:szCs w:val="21"/>
                <w:lang w:eastAsia="zh-CN"/>
              </w:rPr>
              <w:t>云南澄江产业园区</w:t>
            </w:r>
            <w:r>
              <w:rPr>
                <w:rFonts w:hint="default" w:ascii="Times New Roman" w:hAnsi="Times New Roman" w:cs="Times New Roman" w:eastAsiaTheme="minorEastAsia"/>
                <w:color w:val="auto"/>
                <w:szCs w:val="21"/>
              </w:rPr>
              <w:t>提古片区，因此本项目</w:t>
            </w:r>
            <w:r>
              <w:rPr>
                <w:rFonts w:hint="default" w:ascii="Times New Roman" w:hAnsi="Times New Roman" w:cs="Times New Roman" w:eastAsiaTheme="minorEastAsia"/>
                <w:color w:val="auto"/>
                <w:szCs w:val="21"/>
                <w:lang w:val="en-US" w:eastAsia="zh-CN"/>
              </w:rPr>
              <w:t>与</w:t>
            </w:r>
            <w:r>
              <w:rPr>
                <w:rFonts w:hint="default" w:ascii="Times New Roman" w:hAnsi="Times New Roman" w:cs="Times New Roman" w:eastAsiaTheme="minorEastAsia"/>
                <w:color w:val="auto"/>
                <w:szCs w:val="21"/>
              </w:rPr>
              <w:t>提古片区的性质定位</w:t>
            </w:r>
            <w:r>
              <w:rPr>
                <w:rFonts w:hint="default" w:ascii="Times New Roman" w:hAnsi="Times New Roman" w:cs="Times New Roman" w:eastAsiaTheme="minorEastAsia"/>
                <w:color w:val="auto"/>
                <w:szCs w:val="21"/>
                <w:lang w:val="en-US" w:eastAsia="zh-CN"/>
              </w:rPr>
              <w:t>不冲突</w:t>
            </w:r>
            <w:r>
              <w:rPr>
                <w:rFonts w:hint="default" w:ascii="Times New Roman" w:hAnsi="Times New Roman" w:cs="Times New Roman" w:eastAsiaTheme="minorEastAsia"/>
                <w:color w:val="auto"/>
                <w:szCs w:val="21"/>
              </w:rPr>
              <w:t>。</w:t>
            </w:r>
          </w:p>
          <w:p>
            <w:pPr>
              <w:pageBreakBefore w:val="0"/>
              <w:kinsoku/>
              <w:wordWrap/>
              <w:overflowPunct/>
              <w:topLinePunct w:val="0"/>
              <w:bidi w:val="0"/>
              <w:adjustRightInd w:val="0"/>
              <w:snapToGrid w:val="0"/>
              <w:spacing w:line="360" w:lineRule="auto"/>
              <w:ind w:firstLine="0" w:firstLineChars="0"/>
              <w:rPr>
                <w:rFonts w:hint="default" w:ascii="Times New Roman" w:hAnsi="Times New Roman" w:cs="Times New Roman" w:eastAsiaTheme="minorEastAsia"/>
                <w:b/>
                <w:bCs/>
                <w:snapToGrid w:val="0"/>
                <w:color w:val="auto"/>
                <w:szCs w:val="21"/>
              </w:rPr>
            </w:pPr>
            <w:r>
              <w:rPr>
                <w:rFonts w:hint="default" w:ascii="Times New Roman" w:hAnsi="Times New Roman" w:cs="Times New Roman" w:eastAsiaTheme="minorEastAsia"/>
                <w:b/>
                <w:bCs/>
                <w:snapToGrid w:val="0"/>
                <w:color w:val="auto"/>
                <w:szCs w:val="21"/>
              </w:rPr>
              <w:t>2、与《</w:t>
            </w:r>
            <w:r>
              <w:rPr>
                <w:rFonts w:hint="default" w:ascii="Times New Roman" w:hAnsi="Times New Roman" w:cs="Times New Roman" w:eastAsiaTheme="minorEastAsia"/>
                <w:b/>
                <w:bCs/>
                <w:snapToGrid w:val="0"/>
                <w:color w:val="auto"/>
                <w:szCs w:val="21"/>
                <w:lang w:eastAsia="zh-CN"/>
              </w:rPr>
              <w:t>云南澄江产业园区</w:t>
            </w:r>
            <w:r>
              <w:rPr>
                <w:rFonts w:hint="default" w:ascii="Times New Roman" w:hAnsi="Times New Roman" w:cs="Times New Roman" w:eastAsiaTheme="minorEastAsia"/>
                <w:b/>
                <w:bCs/>
                <w:snapToGrid w:val="0"/>
                <w:color w:val="auto"/>
                <w:szCs w:val="21"/>
              </w:rPr>
              <w:t>总体规划[修编]</w:t>
            </w:r>
            <w:r>
              <w:rPr>
                <w:rFonts w:hint="default" w:ascii="Times New Roman" w:hAnsi="Times New Roman" w:cs="Times New Roman" w:eastAsiaTheme="minorEastAsia"/>
                <w:b/>
                <w:bCs/>
                <w:snapToGrid w:val="0"/>
                <w:color w:val="auto"/>
                <w:szCs w:val="21"/>
                <w:lang w:eastAsia="zh-CN"/>
              </w:rPr>
              <w:t>（</w:t>
            </w:r>
            <w:r>
              <w:rPr>
                <w:rFonts w:hint="default" w:ascii="Times New Roman" w:hAnsi="Times New Roman" w:cs="Times New Roman" w:eastAsiaTheme="minorEastAsia"/>
                <w:b/>
                <w:bCs/>
                <w:snapToGrid w:val="0"/>
                <w:color w:val="auto"/>
                <w:szCs w:val="21"/>
              </w:rPr>
              <w:t>2021-2035</w:t>
            </w:r>
            <w:r>
              <w:rPr>
                <w:rFonts w:hint="default" w:ascii="Times New Roman" w:hAnsi="Times New Roman" w:cs="Times New Roman" w:eastAsiaTheme="minorEastAsia"/>
                <w:b/>
                <w:bCs/>
                <w:snapToGrid w:val="0"/>
                <w:color w:val="auto"/>
                <w:szCs w:val="21"/>
                <w:lang w:eastAsia="zh-CN"/>
              </w:rPr>
              <w:t>）</w:t>
            </w:r>
            <w:r>
              <w:rPr>
                <w:rFonts w:hint="default" w:ascii="Times New Roman" w:hAnsi="Times New Roman" w:cs="Times New Roman" w:eastAsiaTheme="minorEastAsia"/>
                <w:b/>
                <w:bCs/>
                <w:snapToGrid w:val="0"/>
                <w:color w:val="auto"/>
                <w:szCs w:val="21"/>
              </w:rPr>
              <w:t>环境影响报告书》及其审查意见符合性分析</w:t>
            </w:r>
          </w:p>
          <w:p>
            <w:pPr>
              <w:pageBreakBefore w:val="0"/>
              <w:kinsoku/>
              <w:wordWrap/>
              <w:overflowPunct/>
              <w:topLinePunct w:val="0"/>
              <w:bidi w:val="0"/>
              <w:adjustRightInd w:val="0"/>
              <w:snapToGrid w:val="0"/>
              <w:spacing w:line="360" w:lineRule="auto"/>
              <w:ind w:firstLine="0" w:firstLineChars="0"/>
              <w:rPr>
                <w:rFonts w:hint="default" w:ascii="Times New Roman" w:hAnsi="Times New Roman" w:cs="Times New Roman" w:eastAsiaTheme="minorEastAsia"/>
                <w:b/>
                <w:bCs/>
                <w:snapToGrid w:val="0"/>
                <w:color w:val="auto"/>
                <w:szCs w:val="21"/>
              </w:rPr>
            </w:pPr>
            <w:r>
              <w:rPr>
                <w:rFonts w:hint="default" w:ascii="Times New Roman" w:hAnsi="Times New Roman" w:cs="Times New Roman" w:eastAsiaTheme="minorEastAsia"/>
                <w:b/>
                <w:bCs/>
                <w:snapToGrid w:val="0"/>
                <w:color w:val="auto"/>
                <w:szCs w:val="21"/>
              </w:rPr>
              <w:t>（1）主要环境影响减缓措施符合性分析</w:t>
            </w:r>
          </w:p>
          <w:p>
            <w:pPr>
              <w:pageBreakBefore w:val="0"/>
              <w:kinsoku/>
              <w:wordWrap/>
              <w:overflowPunct/>
              <w:topLinePunct w:val="0"/>
              <w:bidi w:val="0"/>
              <w:adjustRightInd w:val="0"/>
              <w:snapToGrid w:val="0"/>
              <w:spacing w:line="360" w:lineRule="auto"/>
              <w:ind w:firstLine="0" w:firstLineChars="0"/>
              <w:rPr>
                <w:rFonts w:hint="default" w:ascii="Times New Roman" w:hAnsi="Times New Roman" w:cs="Times New Roman" w:eastAsiaTheme="minorEastAsia"/>
                <w:snapToGrid w:val="0"/>
                <w:color w:val="auto"/>
                <w:szCs w:val="21"/>
              </w:rPr>
            </w:pPr>
            <w:r>
              <w:rPr>
                <w:rFonts w:hint="default" w:ascii="Times New Roman" w:hAnsi="Times New Roman" w:cs="Times New Roman" w:eastAsiaTheme="minorEastAsia"/>
                <w:snapToGrid w:val="0"/>
                <w:color w:val="auto"/>
                <w:szCs w:val="21"/>
              </w:rPr>
              <w:t>根据《</w:t>
            </w:r>
            <w:r>
              <w:rPr>
                <w:rFonts w:hint="default" w:ascii="Times New Roman" w:hAnsi="Times New Roman" w:cs="Times New Roman" w:eastAsiaTheme="minorEastAsia"/>
                <w:snapToGrid w:val="0"/>
                <w:color w:val="auto"/>
                <w:szCs w:val="21"/>
                <w:lang w:eastAsia="zh-CN"/>
              </w:rPr>
              <w:t>云南澄江产业园区</w:t>
            </w:r>
            <w:r>
              <w:rPr>
                <w:rFonts w:hint="default" w:ascii="Times New Roman" w:hAnsi="Times New Roman" w:cs="Times New Roman" w:eastAsiaTheme="minorEastAsia"/>
                <w:snapToGrid w:val="0"/>
                <w:color w:val="auto"/>
                <w:szCs w:val="21"/>
              </w:rPr>
              <w:t>总体规划[修编]</w:t>
            </w:r>
            <w:r>
              <w:rPr>
                <w:rFonts w:hint="default" w:ascii="Times New Roman" w:hAnsi="Times New Roman" w:cs="Times New Roman" w:eastAsiaTheme="minorEastAsia"/>
                <w:snapToGrid w:val="0"/>
                <w:color w:val="auto"/>
                <w:szCs w:val="21"/>
                <w:lang w:eastAsia="zh-CN"/>
              </w:rPr>
              <w:t>（</w:t>
            </w:r>
            <w:r>
              <w:rPr>
                <w:rFonts w:hint="default" w:ascii="Times New Roman" w:hAnsi="Times New Roman" w:cs="Times New Roman" w:eastAsiaTheme="minorEastAsia"/>
                <w:snapToGrid w:val="0"/>
                <w:color w:val="auto"/>
                <w:szCs w:val="21"/>
              </w:rPr>
              <w:t>2021-2035</w:t>
            </w:r>
            <w:r>
              <w:rPr>
                <w:rFonts w:hint="default" w:ascii="Times New Roman" w:hAnsi="Times New Roman" w:cs="Times New Roman" w:eastAsiaTheme="minorEastAsia"/>
                <w:snapToGrid w:val="0"/>
                <w:color w:val="auto"/>
                <w:szCs w:val="21"/>
                <w:lang w:eastAsia="zh-CN"/>
              </w:rPr>
              <w:t>）</w:t>
            </w:r>
            <w:r>
              <w:rPr>
                <w:rFonts w:hint="default" w:ascii="Times New Roman" w:hAnsi="Times New Roman" w:cs="Times New Roman" w:eastAsiaTheme="minorEastAsia"/>
                <w:snapToGrid w:val="0"/>
                <w:color w:val="auto"/>
                <w:szCs w:val="21"/>
              </w:rPr>
              <w:t>环境影响报告书》及其环评审查意见，本项目与园区的主要环境影响减缓措施符合性分析如下表所示。</w:t>
            </w:r>
          </w:p>
          <w:p>
            <w:pPr>
              <w:pageBreakBefore w:val="0"/>
              <w:kinsoku/>
              <w:wordWrap/>
              <w:overflowPunct/>
              <w:topLinePunct w:val="0"/>
              <w:bidi w:val="0"/>
              <w:spacing w:line="360" w:lineRule="auto"/>
              <w:ind w:firstLine="0" w:firstLineChars="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表1-2项目与规划环评提出的环保限制因素符合性分析一览表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3185"/>
              <w:gridCol w:w="2918"/>
              <w:gridCol w:w="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0" w:type="auto"/>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项目</w:t>
                  </w:r>
                </w:p>
              </w:tc>
              <w:tc>
                <w:tcPr>
                  <w:tcW w:w="3185" w:type="dxa"/>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规划环评环保要求</w:t>
                  </w:r>
                </w:p>
              </w:tc>
              <w:tc>
                <w:tcPr>
                  <w:tcW w:w="2918" w:type="dxa"/>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本项目符合性分析</w:t>
                  </w:r>
                </w:p>
              </w:tc>
              <w:tc>
                <w:tcPr>
                  <w:tcW w:w="0" w:type="auto"/>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2" w:hRule="atLeast"/>
              </w:trPr>
              <w:tc>
                <w:tcPr>
                  <w:tcW w:w="0" w:type="auto"/>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规划产业布局</w:t>
                  </w:r>
                </w:p>
              </w:tc>
              <w:tc>
                <w:tcPr>
                  <w:tcW w:w="3185" w:type="dxa"/>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提古片区定位：主要发展生物资源加工产业</w:t>
                  </w:r>
                </w:p>
              </w:tc>
              <w:tc>
                <w:tcPr>
                  <w:tcW w:w="2918" w:type="dxa"/>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本项目属于</w:t>
                  </w:r>
                  <w:r>
                    <w:rPr>
                      <w:rFonts w:hint="default" w:ascii="Times New Roman" w:hAnsi="Times New Roman" w:cs="Times New Roman" w:eastAsiaTheme="minorEastAsia"/>
                      <w:color w:val="auto"/>
                      <w:sz w:val="21"/>
                      <w:szCs w:val="21"/>
                      <w:lang w:eastAsia="zh-CN"/>
                    </w:rPr>
                    <w:t>特种玻璃制造</w:t>
                  </w:r>
                  <w:r>
                    <w:rPr>
                      <w:rFonts w:hint="default" w:ascii="Times New Roman" w:hAnsi="Times New Roman" w:cs="Times New Roman" w:eastAsiaTheme="minorEastAsia"/>
                      <w:color w:val="auto"/>
                      <w:sz w:val="21"/>
                      <w:szCs w:val="21"/>
                    </w:rPr>
                    <w:t>，属于</w:t>
                  </w:r>
                  <w:r>
                    <w:rPr>
                      <w:rFonts w:hint="default" w:ascii="Times New Roman" w:hAnsi="Times New Roman" w:cs="Times New Roman" w:eastAsiaTheme="minorEastAsia"/>
                      <w:color w:val="auto"/>
                      <w:sz w:val="21"/>
                      <w:szCs w:val="21"/>
                      <w:lang w:eastAsia="zh-CN"/>
                    </w:rPr>
                    <w:t>玻璃制品制造</w:t>
                  </w:r>
                  <w:r>
                    <w:rPr>
                      <w:rFonts w:hint="default" w:ascii="Times New Roman" w:hAnsi="Times New Roman" w:cs="Times New Roman" w:eastAsiaTheme="minorEastAsia"/>
                      <w:color w:val="auto"/>
                      <w:sz w:val="21"/>
                      <w:szCs w:val="21"/>
                    </w:rPr>
                    <w:t>制造业，</w:t>
                  </w:r>
                  <w:r>
                    <w:rPr>
                      <w:rFonts w:hint="default" w:ascii="Times New Roman" w:hAnsi="Times New Roman" w:cs="Times New Roman" w:eastAsiaTheme="minorEastAsia"/>
                      <w:color w:val="auto"/>
                      <w:sz w:val="21"/>
                      <w:szCs w:val="21"/>
                      <w:lang w:eastAsia="zh-CN"/>
                    </w:rPr>
                    <w:t>不属于园区</w:t>
                  </w:r>
                  <w:r>
                    <w:rPr>
                      <w:rFonts w:hint="default" w:ascii="Times New Roman" w:hAnsi="Times New Roman" w:cs="Times New Roman" w:eastAsiaTheme="minorEastAsia"/>
                      <w:color w:val="auto"/>
                      <w:sz w:val="21"/>
                      <w:szCs w:val="21"/>
                    </w:rPr>
                    <w:t>严禁</w:t>
                  </w:r>
                  <w:r>
                    <w:rPr>
                      <w:rFonts w:hint="default" w:ascii="Times New Roman" w:hAnsi="Times New Roman" w:cs="Times New Roman" w:eastAsiaTheme="minorEastAsia"/>
                      <w:color w:val="auto"/>
                      <w:sz w:val="21"/>
                      <w:szCs w:val="21"/>
                      <w:lang w:eastAsia="zh-CN"/>
                    </w:rPr>
                    <w:t>入驻的</w:t>
                  </w:r>
                  <w:r>
                    <w:rPr>
                      <w:rFonts w:hint="default" w:ascii="Times New Roman" w:hAnsi="Times New Roman" w:cs="Times New Roman" w:eastAsiaTheme="minorEastAsia"/>
                      <w:color w:val="auto"/>
                      <w:sz w:val="21"/>
                      <w:szCs w:val="21"/>
                    </w:rPr>
                    <w:t>《产业结构调整指导目录（</w:t>
                  </w:r>
                  <w:r>
                    <w:rPr>
                      <w:rFonts w:hint="default" w:ascii="Times New Roman" w:hAnsi="Times New Roman" w:cs="Times New Roman" w:eastAsiaTheme="minorEastAsia"/>
                      <w:color w:val="auto"/>
                      <w:sz w:val="21"/>
                      <w:szCs w:val="21"/>
                      <w:lang w:eastAsia="zh-CN"/>
                    </w:rPr>
                    <w:t>2024年本</w:t>
                  </w:r>
                  <w:r>
                    <w:rPr>
                      <w:rFonts w:hint="default" w:ascii="Times New Roman" w:hAnsi="Times New Roman" w:cs="Times New Roman" w:eastAsiaTheme="minorEastAsia"/>
                      <w:color w:val="auto"/>
                      <w:sz w:val="21"/>
                      <w:szCs w:val="21"/>
                    </w:rPr>
                    <w:t>）》中淘汰类及限制类项目</w:t>
                  </w:r>
                  <w:r>
                    <w:rPr>
                      <w:rFonts w:hint="default" w:ascii="Times New Roman" w:hAnsi="Times New Roman" w:cs="Times New Roman" w:eastAsiaTheme="minorEastAsia"/>
                      <w:color w:val="auto"/>
                      <w:sz w:val="21"/>
                      <w:szCs w:val="21"/>
                      <w:lang w:eastAsia="zh-CN"/>
                    </w:rPr>
                    <w:t>及</w:t>
                  </w:r>
                  <w:r>
                    <w:rPr>
                      <w:rFonts w:hint="default" w:ascii="Times New Roman" w:hAnsi="Times New Roman" w:cs="Times New Roman" w:eastAsiaTheme="minorEastAsia"/>
                      <w:color w:val="auto"/>
                      <w:sz w:val="21"/>
                      <w:szCs w:val="21"/>
                    </w:rPr>
                    <w:t>《环境保护综合名录（2021年版）》中高风险高污染</w:t>
                  </w:r>
                  <w:r>
                    <w:rPr>
                      <w:rFonts w:hint="eastAsia" w:ascii="Times New Roman" w:hAnsi="Times New Roman" w:cs="Times New Roman" w:eastAsiaTheme="minorEastAsia"/>
                      <w:color w:val="auto"/>
                      <w:sz w:val="21"/>
                      <w:szCs w:val="21"/>
                      <w:lang w:eastAsia="zh-CN"/>
                    </w:rPr>
                    <w:t>项目</w:t>
                  </w:r>
                  <w:r>
                    <w:rPr>
                      <w:rFonts w:hint="default" w:ascii="Times New Roman" w:hAnsi="Times New Roman" w:cs="Times New Roman" w:eastAsiaTheme="minorEastAsia"/>
                      <w:color w:val="auto"/>
                      <w:sz w:val="21"/>
                      <w:szCs w:val="21"/>
                      <w:lang w:eastAsia="zh-CN"/>
                    </w:rPr>
                    <w:t>，且项目</w:t>
                  </w:r>
                  <w:r>
                    <w:rPr>
                      <w:rFonts w:hint="default" w:ascii="Times New Roman" w:hAnsi="Times New Roman" w:cs="Times New Roman" w:eastAsiaTheme="minorEastAsia"/>
                      <w:color w:val="auto"/>
                      <w:sz w:val="21"/>
                      <w:szCs w:val="21"/>
                    </w:rPr>
                    <w:t>于</w:t>
                  </w:r>
                  <w:r>
                    <w:rPr>
                      <w:rFonts w:hint="default" w:ascii="Times New Roman" w:hAnsi="Times New Roman" w:cs="Times New Roman" w:eastAsiaTheme="minorEastAsia"/>
                      <w:color w:val="auto"/>
                      <w:sz w:val="21"/>
                      <w:szCs w:val="21"/>
                      <w:highlight w:val="none"/>
                      <w:lang w:eastAsia="zh-CN"/>
                    </w:rPr>
                    <w:t>2024年1月17日</w:t>
                  </w:r>
                  <w:r>
                    <w:rPr>
                      <w:rFonts w:hint="default" w:ascii="Times New Roman" w:hAnsi="Times New Roman" w:cs="Times New Roman" w:eastAsiaTheme="minorEastAsia"/>
                      <w:color w:val="auto"/>
                      <w:sz w:val="21"/>
                      <w:szCs w:val="21"/>
                      <w:lang w:val="zh-CN"/>
                    </w:rPr>
                    <w:t>已取得</w:t>
                  </w:r>
                  <w:r>
                    <w:rPr>
                      <w:rFonts w:hint="default" w:ascii="Times New Roman" w:hAnsi="Times New Roman" w:cs="Times New Roman" w:eastAsiaTheme="minorEastAsia"/>
                      <w:color w:val="auto"/>
                      <w:sz w:val="21"/>
                      <w:szCs w:val="21"/>
                      <w:lang w:eastAsia="zh-CN"/>
                    </w:rPr>
                    <w:t>云南澄江产业园区</w:t>
                  </w:r>
                  <w:r>
                    <w:rPr>
                      <w:rFonts w:hint="default" w:ascii="Times New Roman" w:hAnsi="Times New Roman" w:cs="Times New Roman" w:eastAsiaTheme="minorEastAsia"/>
                      <w:color w:val="auto"/>
                      <w:sz w:val="21"/>
                      <w:szCs w:val="21"/>
                    </w:rPr>
                    <w:t>管理委员会</w:t>
                  </w:r>
                  <w:r>
                    <w:rPr>
                      <w:rFonts w:hint="default" w:ascii="Times New Roman" w:hAnsi="Times New Roman" w:cs="Times New Roman" w:eastAsiaTheme="minorEastAsia"/>
                      <w:color w:val="auto"/>
                      <w:sz w:val="21"/>
                      <w:szCs w:val="21"/>
                      <w:lang w:val="zh-CN"/>
                    </w:rPr>
                    <w:t>出具的项目入园申请同意</w:t>
                  </w:r>
                  <w:r>
                    <w:rPr>
                      <w:rFonts w:hint="default" w:ascii="Times New Roman" w:hAnsi="Times New Roman" w:cs="Times New Roman" w:eastAsiaTheme="minorEastAsia"/>
                      <w:color w:val="auto"/>
                      <w:sz w:val="21"/>
                      <w:szCs w:val="21"/>
                    </w:rPr>
                    <w:t>证明</w:t>
                  </w:r>
                  <w:r>
                    <w:rPr>
                      <w:rFonts w:hint="default" w:ascii="Times New Roman" w:hAnsi="Times New Roman" w:cs="Times New Roman" w:eastAsiaTheme="minorEastAsia"/>
                      <w:color w:val="auto"/>
                      <w:sz w:val="21"/>
                      <w:szCs w:val="21"/>
                      <w:lang w:val="zh-CN"/>
                    </w:rPr>
                    <w:t>，</w:t>
                  </w:r>
                  <w:r>
                    <w:rPr>
                      <w:rFonts w:hint="default" w:ascii="Times New Roman" w:hAnsi="Times New Roman" w:cs="Times New Roman" w:eastAsiaTheme="minorEastAsia"/>
                      <w:color w:val="auto"/>
                      <w:sz w:val="21"/>
                      <w:szCs w:val="21"/>
                    </w:rPr>
                    <w:t>同意证明中明确“项目符合园区规划”，同意项目入驻</w:t>
                  </w:r>
                  <w:r>
                    <w:rPr>
                      <w:rFonts w:hint="default" w:ascii="Times New Roman" w:hAnsi="Times New Roman" w:cs="Times New Roman" w:eastAsiaTheme="minorEastAsia"/>
                      <w:color w:val="auto"/>
                      <w:sz w:val="21"/>
                      <w:szCs w:val="21"/>
                      <w:lang w:val="zh-CN"/>
                    </w:rPr>
                    <w:t>云南澄江产业园区提古片区</w:t>
                  </w:r>
                </w:p>
              </w:tc>
              <w:tc>
                <w:tcPr>
                  <w:tcW w:w="0" w:type="auto"/>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不冲突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园区环境准入条件</w:t>
                  </w:r>
                </w:p>
              </w:tc>
              <w:tc>
                <w:tcPr>
                  <w:tcW w:w="3185" w:type="dxa"/>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jc w:val="left"/>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①</w:t>
                  </w:r>
                  <w:r>
                    <w:rPr>
                      <w:rFonts w:hint="default" w:ascii="Times New Roman" w:hAnsi="Times New Roman" w:cs="Times New Roman" w:eastAsiaTheme="minorEastAsia"/>
                      <w:color w:val="auto"/>
                      <w:sz w:val="21"/>
                      <w:szCs w:val="21"/>
                    </w:rPr>
                    <w:t>工艺、规模、产品、选址应符合国家及云南省相关产业政策、园区产业结构和功能布局要求</w:t>
                  </w:r>
                  <w:r>
                    <w:rPr>
                      <w:rFonts w:hint="default" w:ascii="Times New Roman" w:hAnsi="Times New Roman" w:cs="Times New Roman" w:eastAsiaTheme="minorEastAsia"/>
                      <w:color w:val="auto"/>
                      <w:sz w:val="21"/>
                      <w:szCs w:val="21"/>
                      <w:lang w:eastAsia="zh-CN"/>
                    </w:rPr>
                    <w:t>；</w:t>
                  </w:r>
                </w:p>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jc w:val="left"/>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②禁止属于《产业结构调整指导目录（</w:t>
                  </w:r>
                  <w:r>
                    <w:rPr>
                      <w:rFonts w:hint="default" w:ascii="Times New Roman" w:hAnsi="Times New Roman" w:cs="Times New Roman" w:eastAsiaTheme="minorEastAsia"/>
                      <w:color w:val="auto"/>
                      <w:sz w:val="21"/>
                      <w:szCs w:val="21"/>
                      <w:lang w:eastAsia="zh-CN"/>
                    </w:rPr>
                    <w:t>2024年本</w:t>
                  </w:r>
                  <w:r>
                    <w:rPr>
                      <w:rFonts w:hint="default" w:ascii="Times New Roman" w:hAnsi="Times New Roman" w:cs="Times New Roman" w:eastAsiaTheme="minorEastAsia"/>
                      <w:color w:val="auto"/>
                      <w:sz w:val="21"/>
                      <w:szCs w:val="21"/>
                    </w:rPr>
                    <w:t>）》、《云南省工业产业结构调整指导目录（2006年本）》、《外商投资产业指导目录（2015修订）》、《产业转移指导目录（2012年本）》等文件中淘汰类的项目，《环境保护综合名录（2021年版）》中高风险高污染行业</w:t>
                  </w:r>
                  <w:r>
                    <w:rPr>
                      <w:rFonts w:hint="eastAsia" w:ascii="Times New Roman" w:hAnsi="Times New Roman" w:cs="Times New Roman" w:eastAsiaTheme="minorEastAsia"/>
                      <w:color w:val="auto"/>
                      <w:sz w:val="21"/>
                      <w:szCs w:val="21"/>
                      <w:lang w:eastAsia="zh-CN"/>
                    </w:rPr>
                    <w:t>以及</w:t>
                  </w:r>
                  <w:r>
                    <w:rPr>
                      <w:rFonts w:hint="default" w:ascii="Times New Roman" w:hAnsi="Times New Roman" w:cs="Times New Roman" w:eastAsiaTheme="minorEastAsia"/>
                      <w:color w:val="auto"/>
                      <w:sz w:val="21"/>
                      <w:szCs w:val="21"/>
                    </w:rPr>
                    <w:t>属于《工商投资领域制止重复建设目录》、《禁止外商投资产业目录》、《严重污染环境的淘汰工艺与设备名录》等文件内的建设项目引入园区；</w:t>
                  </w:r>
                </w:p>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③</w:t>
                  </w:r>
                  <w:r>
                    <w:rPr>
                      <w:rFonts w:hint="default" w:ascii="Times New Roman" w:hAnsi="Times New Roman" w:cs="Times New Roman" w:eastAsiaTheme="minorEastAsia"/>
                      <w:color w:val="auto"/>
                      <w:sz w:val="21"/>
                      <w:szCs w:val="21"/>
                    </w:rPr>
                    <w:t>引进的项目应能够满足资源节约的原则，清洁生产水平应达到国内先进水平以上；限制引入、发展用水量及污水产生量较大的以上行业；</w:t>
                  </w:r>
                </w:p>
              </w:tc>
              <w:tc>
                <w:tcPr>
                  <w:tcW w:w="2918" w:type="dxa"/>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①</w:t>
                  </w:r>
                  <w:r>
                    <w:rPr>
                      <w:rFonts w:hint="default" w:ascii="Times New Roman" w:hAnsi="Times New Roman" w:cs="Times New Roman" w:eastAsiaTheme="minorEastAsia"/>
                      <w:color w:val="auto"/>
                      <w:sz w:val="21"/>
                      <w:szCs w:val="21"/>
                    </w:rPr>
                    <w:t>本项目属于</w:t>
                  </w:r>
                  <w:r>
                    <w:rPr>
                      <w:rFonts w:hint="default" w:ascii="Times New Roman" w:hAnsi="Times New Roman" w:cs="Times New Roman" w:eastAsiaTheme="minorEastAsia"/>
                      <w:color w:val="auto"/>
                      <w:sz w:val="21"/>
                      <w:szCs w:val="21"/>
                      <w:lang w:eastAsia="zh-CN"/>
                    </w:rPr>
                    <w:t>特种玻璃制造</w:t>
                  </w:r>
                  <w:r>
                    <w:rPr>
                      <w:rFonts w:hint="default" w:ascii="Times New Roman" w:hAnsi="Times New Roman" w:cs="Times New Roman" w:eastAsiaTheme="minorEastAsia"/>
                      <w:color w:val="auto"/>
                      <w:sz w:val="21"/>
                      <w:szCs w:val="21"/>
                    </w:rPr>
                    <w:t>，物耗、能耗相对较低，产生污染物均得到妥善处置，</w:t>
                  </w:r>
                  <w:r>
                    <w:rPr>
                      <w:rFonts w:hint="default" w:ascii="Times New Roman" w:hAnsi="Times New Roman" w:cs="Times New Roman" w:eastAsiaTheme="minorEastAsia"/>
                      <w:color w:val="auto"/>
                      <w:sz w:val="21"/>
                      <w:szCs w:val="21"/>
                      <w:lang w:val="en-US" w:eastAsia="zh-CN"/>
                    </w:rPr>
                    <w:t>与</w:t>
                  </w:r>
                  <w:r>
                    <w:rPr>
                      <w:rFonts w:hint="default" w:ascii="Times New Roman" w:hAnsi="Times New Roman" w:cs="Times New Roman" w:eastAsiaTheme="minorEastAsia"/>
                      <w:color w:val="auto"/>
                      <w:sz w:val="21"/>
                      <w:szCs w:val="21"/>
                    </w:rPr>
                    <w:t>国家及云南省相关产业政策、园区产业结构和功能布局</w:t>
                  </w:r>
                  <w:r>
                    <w:rPr>
                      <w:rFonts w:hint="default" w:ascii="Times New Roman" w:hAnsi="Times New Roman" w:cs="Times New Roman" w:eastAsiaTheme="minorEastAsia"/>
                      <w:color w:val="auto"/>
                      <w:sz w:val="21"/>
                      <w:szCs w:val="21"/>
                      <w:lang w:val="en-US" w:eastAsia="zh-CN"/>
                    </w:rPr>
                    <w:t>不冲突。</w:t>
                  </w:r>
                </w:p>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②</w:t>
                  </w:r>
                  <w:r>
                    <w:rPr>
                      <w:rFonts w:hint="default" w:ascii="Times New Roman" w:hAnsi="Times New Roman" w:cs="Times New Roman" w:eastAsiaTheme="minorEastAsia"/>
                      <w:color w:val="auto"/>
                      <w:sz w:val="21"/>
                      <w:szCs w:val="21"/>
                    </w:rPr>
                    <w:t>不属于《产业结构调整指导目录（</w:t>
                  </w:r>
                  <w:r>
                    <w:rPr>
                      <w:rFonts w:hint="default" w:ascii="Times New Roman" w:hAnsi="Times New Roman" w:cs="Times New Roman" w:eastAsiaTheme="minorEastAsia"/>
                      <w:color w:val="auto"/>
                      <w:sz w:val="21"/>
                      <w:szCs w:val="21"/>
                      <w:lang w:eastAsia="zh-CN"/>
                    </w:rPr>
                    <w:t>2024年本</w:t>
                  </w:r>
                  <w:r>
                    <w:rPr>
                      <w:rFonts w:hint="default" w:ascii="Times New Roman" w:hAnsi="Times New Roman" w:cs="Times New Roman" w:eastAsiaTheme="minorEastAsia"/>
                      <w:color w:val="auto"/>
                      <w:sz w:val="21"/>
                      <w:szCs w:val="21"/>
                    </w:rPr>
                    <w:t>）》、《云南省工业产业结构调整指导目录（2006年本）》、《外商投资产业指导目录（2015修订）》、《产业转移指导目录（2012年本）》等文件中淘汰类的项目，</w:t>
                  </w:r>
                  <w:r>
                    <w:rPr>
                      <w:rFonts w:hint="default" w:ascii="Times New Roman" w:hAnsi="Times New Roman" w:cs="Times New Roman" w:eastAsiaTheme="minorEastAsia"/>
                      <w:color w:val="auto"/>
                      <w:sz w:val="21"/>
                      <w:szCs w:val="21"/>
                      <w:lang w:eastAsia="zh-CN"/>
                    </w:rPr>
                    <w:t>也不属于</w:t>
                  </w:r>
                  <w:r>
                    <w:rPr>
                      <w:rFonts w:hint="default" w:ascii="Times New Roman" w:hAnsi="Times New Roman" w:cs="Times New Roman" w:eastAsiaTheme="minorEastAsia"/>
                      <w:color w:val="auto"/>
                      <w:sz w:val="21"/>
                      <w:szCs w:val="21"/>
                    </w:rPr>
                    <w:t>《环境保护综合名录（2021年版）》中高风险高污染行业</w:t>
                  </w:r>
                  <w:r>
                    <w:rPr>
                      <w:rFonts w:hint="eastAsia" w:ascii="Times New Roman" w:hAnsi="Times New Roman" w:cs="Times New Roman" w:eastAsiaTheme="minorEastAsia"/>
                      <w:color w:val="auto"/>
                      <w:sz w:val="21"/>
                      <w:szCs w:val="21"/>
                      <w:lang w:eastAsia="zh-CN"/>
                    </w:rPr>
                    <w:t>以及</w:t>
                  </w:r>
                  <w:r>
                    <w:rPr>
                      <w:rFonts w:hint="default" w:ascii="Times New Roman" w:hAnsi="Times New Roman" w:cs="Times New Roman" w:eastAsiaTheme="minorEastAsia"/>
                      <w:color w:val="auto"/>
                      <w:sz w:val="21"/>
                      <w:szCs w:val="21"/>
                    </w:rPr>
                    <w:t>属于《工商投资领域制止重复建设目录》、《禁止外商投资产业目录》、《严重污染环境的淘汰工艺与设备名录》等文件内的建设项目。</w:t>
                  </w:r>
                </w:p>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③</w:t>
                  </w:r>
                  <w:r>
                    <w:rPr>
                      <w:rFonts w:hint="default" w:ascii="Times New Roman" w:hAnsi="Times New Roman" w:cs="Times New Roman" w:eastAsiaTheme="minorEastAsia"/>
                      <w:color w:val="auto"/>
                      <w:sz w:val="21"/>
                      <w:szCs w:val="21"/>
                    </w:rPr>
                    <w:t>项目</w:t>
                  </w:r>
                  <w:r>
                    <w:rPr>
                      <w:rFonts w:hint="default" w:ascii="Times New Roman" w:hAnsi="Times New Roman" w:cs="Times New Roman" w:eastAsiaTheme="minorEastAsia"/>
                      <w:color w:val="auto"/>
                      <w:sz w:val="21"/>
                      <w:szCs w:val="21"/>
                      <w:lang w:val="zh-CN"/>
                    </w:rPr>
                    <w:t>已取得</w:t>
                  </w:r>
                  <w:r>
                    <w:rPr>
                      <w:rFonts w:hint="default" w:ascii="Times New Roman" w:hAnsi="Times New Roman" w:cs="Times New Roman" w:eastAsiaTheme="minorEastAsia"/>
                      <w:color w:val="auto"/>
                      <w:sz w:val="21"/>
                      <w:szCs w:val="21"/>
                      <w:lang w:eastAsia="zh-CN"/>
                    </w:rPr>
                    <w:t>云南澄江产业园区</w:t>
                  </w:r>
                  <w:r>
                    <w:rPr>
                      <w:rFonts w:hint="default" w:ascii="Times New Roman" w:hAnsi="Times New Roman" w:cs="Times New Roman" w:eastAsiaTheme="minorEastAsia"/>
                      <w:color w:val="auto"/>
                      <w:sz w:val="21"/>
                      <w:szCs w:val="21"/>
                    </w:rPr>
                    <w:t>管理委员会</w:t>
                  </w:r>
                  <w:r>
                    <w:rPr>
                      <w:rFonts w:hint="default" w:ascii="Times New Roman" w:hAnsi="Times New Roman" w:cs="Times New Roman" w:eastAsiaTheme="minorEastAsia"/>
                      <w:color w:val="auto"/>
                      <w:sz w:val="21"/>
                      <w:szCs w:val="21"/>
                      <w:lang w:val="zh-CN"/>
                    </w:rPr>
                    <w:t>出具的项目入园申请同意</w:t>
                  </w:r>
                  <w:r>
                    <w:rPr>
                      <w:rFonts w:hint="default" w:ascii="Times New Roman" w:hAnsi="Times New Roman" w:cs="Times New Roman" w:eastAsiaTheme="minorEastAsia"/>
                      <w:color w:val="auto"/>
                      <w:sz w:val="21"/>
                      <w:szCs w:val="21"/>
                    </w:rPr>
                    <w:t>证明</w:t>
                  </w:r>
                  <w:r>
                    <w:rPr>
                      <w:rFonts w:hint="default" w:ascii="Times New Roman" w:hAnsi="Times New Roman" w:cs="Times New Roman" w:eastAsiaTheme="minorEastAsia"/>
                      <w:color w:val="auto"/>
                      <w:sz w:val="21"/>
                      <w:szCs w:val="21"/>
                      <w:lang w:val="zh-CN"/>
                    </w:rPr>
                    <w:t>，</w:t>
                  </w:r>
                  <w:r>
                    <w:rPr>
                      <w:rFonts w:hint="default" w:ascii="Times New Roman" w:hAnsi="Times New Roman" w:cs="Times New Roman" w:eastAsiaTheme="minorEastAsia"/>
                      <w:color w:val="auto"/>
                      <w:sz w:val="21"/>
                      <w:szCs w:val="21"/>
                    </w:rPr>
                    <w:t>同意证明中明确“项目符合园区规划”，同意项目入驻</w:t>
                  </w:r>
                  <w:r>
                    <w:rPr>
                      <w:rFonts w:hint="default" w:ascii="Times New Roman" w:hAnsi="Times New Roman" w:cs="Times New Roman" w:eastAsiaTheme="minorEastAsia"/>
                      <w:color w:val="auto"/>
                      <w:sz w:val="21"/>
                      <w:szCs w:val="21"/>
                      <w:lang w:val="zh-CN"/>
                    </w:rPr>
                    <w:t>云南澄江产业园区提古片区。</w:t>
                  </w:r>
                  <w:r>
                    <w:rPr>
                      <w:rFonts w:hint="default" w:ascii="Times New Roman" w:hAnsi="Times New Roman" w:cs="Times New Roman" w:eastAsiaTheme="minorEastAsia"/>
                      <w:color w:val="auto"/>
                      <w:sz w:val="21"/>
                      <w:szCs w:val="21"/>
                    </w:rPr>
                    <w:t>本项目</w:t>
                  </w:r>
                  <w:r>
                    <w:rPr>
                      <w:rFonts w:hint="default" w:ascii="Times New Roman" w:hAnsi="Times New Roman" w:cs="Times New Roman" w:eastAsiaTheme="minorEastAsia"/>
                      <w:color w:val="auto"/>
                      <w:sz w:val="21"/>
                      <w:szCs w:val="21"/>
                      <w:lang w:val="en-US" w:eastAsia="zh-CN"/>
                    </w:rPr>
                    <w:t>所使用钢化玻璃均为成品钢化玻璃</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且</w:t>
                  </w:r>
                  <w:r>
                    <w:rPr>
                      <w:rFonts w:hint="default" w:ascii="Times New Roman" w:hAnsi="Times New Roman" w:cs="Times New Roman" w:eastAsiaTheme="minorEastAsia"/>
                      <w:color w:val="auto"/>
                      <w:sz w:val="21"/>
                      <w:szCs w:val="21"/>
                    </w:rPr>
                    <w:t>产生污染物均得到妥善处置，</w:t>
                  </w:r>
                  <w:r>
                    <w:rPr>
                      <w:rFonts w:hint="default" w:ascii="Times New Roman" w:hAnsi="Times New Roman" w:cs="Times New Roman" w:eastAsiaTheme="minorEastAsia"/>
                      <w:color w:val="auto"/>
                      <w:sz w:val="21"/>
                      <w:szCs w:val="21"/>
                      <w:lang w:eastAsia="zh-CN"/>
                    </w:rPr>
                    <w:t>可满足清洁生产水平。</w:t>
                  </w:r>
                </w:p>
              </w:tc>
              <w:tc>
                <w:tcPr>
                  <w:tcW w:w="0" w:type="auto"/>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2" w:hRule="atLeast"/>
              </w:trPr>
              <w:tc>
                <w:tcPr>
                  <w:tcW w:w="0" w:type="auto"/>
                  <w:vAlign w:val="center"/>
                </w:tcPr>
                <w:p>
                  <w:pPr>
                    <w:keepNext w:val="0"/>
                    <w:keepLines w:val="0"/>
                    <w:pageBreakBefore w:val="0"/>
                    <w:widowControl/>
                    <w:kinsoku/>
                    <w:wordWrap/>
                    <w:overflowPunct/>
                    <w:topLinePunct w:val="0"/>
                    <w:autoSpaceDE/>
                    <w:autoSpaceDN/>
                    <w:bidi w:val="0"/>
                    <w:snapToGrid/>
                    <w:spacing w:line="36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产业布局约束</w:t>
                  </w:r>
                </w:p>
              </w:tc>
              <w:tc>
                <w:tcPr>
                  <w:tcW w:w="3185" w:type="dxa"/>
                  <w:vAlign w:val="center"/>
                </w:tcPr>
                <w:p>
                  <w:pPr>
                    <w:keepNext w:val="0"/>
                    <w:keepLines w:val="0"/>
                    <w:pageBreakBefore w:val="0"/>
                    <w:widowControl/>
                    <w:kinsoku/>
                    <w:wordWrap/>
                    <w:overflowPunct/>
                    <w:topLinePunct w:val="0"/>
                    <w:autoSpaceDE/>
                    <w:autoSpaceDN/>
                    <w:bidi w:val="0"/>
                    <w:snapToGrid/>
                    <w:spacing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入驻项目须符合国家及云南省相关产业政策、符合园区规划产业布局；严禁《产业结构调整指导目录（</w:t>
                  </w:r>
                  <w:r>
                    <w:rPr>
                      <w:rFonts w:hint="default" w:ascii="Times New Roman" w:hAnsi="Times New Roman" w:cs="Times New Roman" w:eastAsiaTheme="minorEastAsia"/>
                      <w:color w:val="auto"/>
                      <w:kern w:val="0"/>
                      <w:sz w:val="21"/>
                      <w:szCs w:val="21"/>
                      <w:lang w:eastAsia="zh-CN"/>
                    </w:rPr>
                    <w:t>2024年本</w:t>
                  </w:r>
                  <w:r>
                    <w:rPr>
                      <w:rFonts w:hint="default" w:ascii="Times New Roman" w:hAnsi="Times New Roman" w:cs="Times New Roman" w:eastAsiaTheme="minorEastAsia"/>
                      <w:color w:val="auto"/>
                      <w:kern w:val="0"/>
                      <w:sz w:val="21"/>
                      <w:szCs w:val="21"/>
                    </w:rPr>
                    <w:t>）》中淘汰类及限制类项目入驻；严禁《环境保护综合名录（2021年版）》中高风险高污染行业入驻；严格限制高污染高耗能的两高项目入园；确需必要新入园的两高项目实行产能置换；</w:t>
                  </w:r>
                </w:p>
              </w:tc>
              <w:tc>
                <w:tcPr>
                  <w:tcW w:w="2918" w:type="dxa"/>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本项目为</w:t>
                  </w:r>
                  <w:r>
                    <w:rPr>
                      <w:rFonts w:hint="default" w:ascii="Times New Roman" w:hAnsi="Times New Roman" w:cs="Times New Roman" w:eastAsiaTheme="minorEastAsia"/>
                      <w:color w:val="auto"/>
                      <w:sz w:val="21"/>
                      <w:szCs w:val="21"/>
                      <w:lang w:val="en-US" w:eastAsia="zh-CN"/>
                    </w:rPr>
                    <w:t>玻璃制品制造</w:t>
                  </w:r>
                  <w:r>
                    <w:rPr>
                      <w:rFonts w:hint="default" w:ascii="Times New Roman" w:hAnsi="Times New Roman" w:cs="Times New Roman" w:eastAsiaTheme="minorEastAsia"/>
                      <w:color w:val="auto"/>
                      <w:sz w:val="21"/>
                      <w:szCs w:val="21"/>
                    </w:rPr>
                    <w:t>项目，物耗、能耗相对较低，产生污染物均得到妥善处置，不属于两高项目。</w:t>
                  </w:r>
                  <w:r>
                    <w:rPr>
                      <w:rFonts w:hint="default" w:ascii="Times New Roman" w:hAnsi="Times New Roman" w:cs="Times New Roman" w:eastAsiaTheme="minorEastAsia"/>
                      <w:color w:val="auto"/>
                      <w:sz w:val="21"/>
                      <w:szCs w:val="21"/>
                      <w:highlight w:val="none"/>
                    </w:rPr>
                    <w:t>项目于</w:t>
                  </w:r>
                  <w:r>
                    <w:rPr>
                      <w:rFonts w:hint="default" w:ascii="Times New Roman" w:hAnsi="Times New Roman" w:cs="Times New Roman" w:eastAsiaTheme="minorEastAsia"/>
                      <w:color w:val="auto"/>
                      <w:sz w:val="21"/>
                      <w:szCs w:val="21"/>
                      <w:highlight w:val="none"/>
                      <w:lang w:eastAsia="zh-CN"/>
                    </w:rPr>
                    <w:t>2024年1月17日</w:t>
                  </w:r>
                  <w:r>
                    <w:rPr>
                      <w:rFonts w:hint="default" w:ascii="Times New Roman" w:hAnsi="Times New Roman" w:cs="Times New Roman" w:eastAsiaTheme="minorEastAsia"/>
                      <w:color w:val="auto"/>
                      <w:sz w:val="21"/>
                      <w:szCs w:val="21"/>
                      <w:highlight w:val="none"/>
                      <w:lang w:val="zh-CN"/>
                    </w:rPr>
                    <w:t>已取</w:t>
                  </w:r>
                  <w:r>
                    <w:rPr>
                      <w:rFonts w:hint="default" w:ascii="Times New Roman" w:hAnsi="Times New Roman" w:cs="Times New Roman" w:eastAsiaTheme="minorEastAsia"/>
                      <w:color w:val="auto"/>
                      <w:sz w:val="21"/>
                      <w:szCs w:val="21"/>
                      <w:lang w:val="zh-CN"/>
                    </w:rPr>
                    <w:t>得</w:t>
                  </w:r>
                  <w:r>
                    <w:rPr>
                      <w:rFonts w:hint="default" w:ascii="Times New Roman" w:hAnsi="Times New Roman" w:cs="Times New Roman" w:eastAsiaTheme="minorEastAsia"/>
                      <w:color w:val="auto"/>
                      <w:sz w:val="21"/>
                      <w:szCs w:val="21"/>
                      <w:lang w:eastAsia="zh-CN"/>
                    </w:rPr>
                    <w:t>云南澄江产业园区</w:t>
                  </w:r>
                  <w:r>
                    <w:rPr>
                      <w:rFonts w:hint="default" w:ascii="Times New Roman" w:hAnsi="Times New Roman" w:cs="Times New Roman" w:eastAsiaTheme="minorEastAsia"/>
                      <w:color w:val="auto"/>
                      <w:sz w:val="21"/>
                      <w:szCs w:val="21"/>
                    </w:rPr>
                    <w:t>管理委员会</w:t>
                  </w:r>
                  <w:r>
                    <w:rPr>
                      <w:rFonts w:hint="default" w:ascii="Times New Roman" w:hAnsi="Times New Roman" w:cs="Times New Roman" w:eastAsiaTheme="minorEastAsia"/>
                      <w:color w:val="auto"/>
                      <w:sz w:val="21"/>
                      <w:szCs w:val="21"/>
                      <w:lang w:val="zh-CN"/>
                    </w:rPr>
                    <w:t>出具的项目入园申请同意</w:t>
                  </w:r>
                  <w:r>
                    <w:rPr>
                      <w:rFonts w:hint="default" w:ascii="Times New Roman" w:hAnsi="Times New Roman" w:cs="Times New Roman" w:eastAsiaTheme="minorEastAsia"/>
                      <w:color w:val="auto"/>
                      <w:sz w:val="21"/>
                      <w:szCs w:val="21"/>
                    </w:rPr>
                    <w:t>证明</w:t>
                  </w:r>
                  <w:r>
                    <w:rPr>
                      <w:rFonts w:hint="default" w:ascii="Times New Roman" w:hAnsi="Times New Roman" w:cs="Times New Roman" w:eastAsiaTheme="minorEastAsia"/>
                      <w:color w:val="auto"/>
                      <w:sz w:val="21"/>
                      <w:szCs w:val="21"/>
                      <w:lang w:val="zh-CN"/>
                    </w:rPr>
                    <w:t>，</w:t>
                  </w:r>
                  <w:r>
                    <w:rPr>
                      <w:rFonts w:hint="default" w:ascii="Times New Roman" w:hAnsi="Times New Roman" w:cs="Times New Roman" w:eastAsiaTheme="minorEastAsia"/>
                      <w:color w:val="auto"/>
                      <w:sz w:val="21"/>
                      <w:szCs w:val="21"/>
                    </w:rPr>
                    <w:t>同意证明中明确“项目符合园区规划”，同意项目入驻</w:t>
                  </w:r>
                  <w:r>
                    <w:rPr>
                      <w:rFonts w:hint="default" w:ascii="Times New Roman" w:hAnsi="Times New Roman" w:cs="Times New Roman" w:eastAsiaTheme="minorEastAsia"/>
                      <w:color w:val="auto"/>
                      <w:sz w:val="21"/>
                      <w:szCs w:val="21"/>
                      <w:lang w:val="zh-CN"/>
                    </w:rPr>
                    <w:t>云南澄江产业园区提古片区</w:t>
                  </w:r>
                  <w:r>
                    <w:rPr>
                      <w:rFonts w:hint="default" w:ascii="Times New Roman" w:hAnsi="Times New Roman" w:cs="Times New Roman" w:eastAsiaTheme="minorEastAsia"/>
                      <w:color w:val="auto"/>
                      <w:sz w:val="21"/>
                      <w:szCs w:val="21"/>
                    </w:rPr>
                    <w:t>根据《产业结构调整指导目录（</w:t>
                  </w:r>
                  <w:r>
                    <w:rPr>
                      <w:rFonts w:hint="default" w:ascii="Times New Roman" w:hAnsi="Times New Roman" w:cs="Times New Roman" w:eastAsiaTheme="minorEastAsia"/>
                      <w:color w:val="auto"/>
                      <w:sz w:val="21"/>
                      <w:szCs w:val="21"/>
                      <w:lang w:eastAsia="zh-CN"/>
                    </w:rPr>
                    <w:t>2024年本</w:t>
                  </w:r>
                  <w:r>
                    <w:rPr>
                      <w:rFonts w:hint="default" w:ascii="Times New Roman" w:hAnsi="Times New Roman" w:cs="Times New Roman" w:eastAsiaTheme="minorEastAsia"/>
                      <w:color w:val="auto"/>
                      <w:sz w:val="21"/>
                      <w:szCs w:val="21"/>
                    </w:rPr>
                    <w:t>）》（国家发改委第29号令，2020年1月1日起实施），本项目不属于鼓励类、限制类和淘汰类，故项目属于允许类。</w:t>
                  </w:r>
                </w:p>
              </w:tc>
              <w:tc>
                <w:tcPr>
                  <w:tcW w:w="0" w:type="auto"/>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0" w:type="auto"/>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大气环境影响减缓措施</w:t>
                  </w:r>
                </w:p>
              </w:tc>
              <w:tc>
                <w:tcPr>
                  <w:tcW w:w="3185" w:type="dxa"/>
                  <w:vAlign w:val="center"/>
                </w:tcPr>
                <w:p>
                  <w:pPr>
                    <w:keepNext w:val="0"/>
                    <w:keepLines w:val="0"/>
                    <w:pageBreakBefore w:val="0"/>
                    <w:kinsoku/>
                    <w:wordWrap/>
                    <w:overflowPunct/>
                    <w:topLinePunct w:val="0"/>
                    <w:autoSpaceDE/>
                    <w:autoSpaceDN/>
                    <w:bidi w:val="0"/>
                    <w:snapToGrid/>
                    <w:spacing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1、入园企业工艺设计应优先选用清洁的</w:t>
                  </w:r>
                  <w:r>
                    <w:rPr>
                      <w:rFonts w:hint="default" w:ascii="Times New Roman" w:hAnsi="Times New Roman" w:cs="Times New Roman" w:eastAsiaTheme="minorEastAsia"/>
                      <w:color w:val="auto"/>
                      <w:sz w:val="21"/>
                      <w:szCs w:val="21"/>
                      <w:lang w:val="en-US" w:eastAsia="zh-CN"/>
                    </w:rPr>
                    <w:t>工艺</w:t>
                  </w:r>
                  <w:r>
                    <w:rPr>
                      <w:rFonts w:hint="default" w:ascii="Times New Roman" w:hAnsi="Times New Roman" w:cs="Times New Roman" w:eastAsiaTheme="minorEastAsia"/>
                      <w:color w:val="auto"/>
                      <w:sz w:val="21"/>
                      <w:szCs w:val="21"/>
                    </w:rPr>
                    <w:t>和原辅材料，采用先进的技术和装备，减少废气污染物产生量；生产过程排出的工艺废气应优先回收利用或综合利用，不能回收利用或综合利用的废气应采取净化处理措施；</w:t>
                  </w:r>
                </w:p>
                <w:p>
                  <w:pPr>
                    <w:keepNext w:val="0"/>
                    <w:keepLines w:val="0"/>
                    <w:pageBreakBefore w:val="0"/>
                    <w:numPr>
                      <w:ilvl w:val="0"/>
                      <w:numId w:val="2"/>
                    </w:numPr>
                    <w:kinsoku/>
                    <w:wordWrap/>
                    <w:overflowPunct/>
                    <w:topLinePunct w:val="0"/>
                    <w:autoSpaceDE/>
                    <w:autoSpaceDN/>
                    <w:bidi w:val="0"/>
                    <w:snapToGrid/>
                    <w:spacing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入园企业废气治理方案应优先选择避免产生二次污染的工艺和技术，有二次污染产生时应对污染物进行治理；</w:t>
                  </w:r>
                </w:p>
                <w:p>
                  <w:pPr>
                    <w:keepNext w:val="0"/>
                    <w:keepLines w:val="0"/>
                    <w:pageBreakBefore w:val="0"/>
                    <w:numPr>
                      <w:ilvl w:val="0"/>
                      <w:numId w:val="2"/>
                    </w:numPr>
                    <w:kinsoku/>
                    <w:wordWrap/>
                    <w:overflowPunct/>
                    <w:topLinePunct w:val="0"/>
                    <w:autoSpaceDE/>
                    <w:autoSpaceDN/>
                    <w:bidi w:val="0"/>
                    <w:snapToGrid/>
                    <w:spacing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入园企业产生有毒有害废气、粉尘、恶臭、酸雾、挥发性有机物等气态物质的生产装置宜选用密闭的工艺设备或设施；产生大气污染物的生产工艺或装置应设置局部或整体气体收集系统和净化处理装置。</w:t>
                  </w:r>
                </w:p>
              </w:tc>
              <w:tc>
                <w:tcPr>
                  <w:tcW w:w="2918" w:type="dxa"/>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本项目工艺设计优先选用清洁的工艺和原辅材料，采用先进的技术和装备，减少废气污染物产生量；生产过程排出的工艺废气</w:t>
                  </w:r>
                  <w:r>
                    <w:rPr>
                      <w:rFonts w:hint="default" w:ascii="Times New Roman" w:hAnsi="Times New Roman" w:cs="Times New Roman" w:eastAsiaTheme="minorEastAsia"/>
                      <w:color w:val="auto"/>
                      <w:sz w:val="21"/>
                      <w:szCs w:val="21"/>
                    </w:rPr>
                    <w:t>采取了</w:t>
                  </w:r>
                  <w:r>
                    <w:rPr>
                      <w:rFonts w:hint="default" w:ascii="Times New Roman" w:hAnsi="Times New Roman" w:eastAsia="宋体" w:cs="Times New Roman"/>
                      <w:color w:val="auto"/>
                      <w:spacing w:val="11"/>
                      <w:sz w:val="21"/>
                      <w:szCs w:val="21"/>
                      <w:lang w:val="en-US" w:eastAsia="zh-CN"/>
                    </w:rPr>
                    <w:t>二级活性炭</w:t>
                  </w:r>
                  <w:r>
                    <w:rPr>
                      <w:rFonts w:hint="default" w:ascii="Times New Roman" w:hAnsi="Times New Roman" w:cs="Times New Roman"/>
                      <w:color w:val="auto"/>
                      <w:spacing w:val="11"/>
                      <w:sz w:val="21"/>
                      <w:szCs w:val="21"/>
                    </w:rPr>
                    <w:t>活性炭吸附设备</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不会产生二次污染，产生大气污染物的生产工艺和装置应设置局部气体收集系统和净化处理装置。</w:t>
                  </w:r>
                </w:p>
              </w:tc>
              <w:tc>
                <w:tcPr>
                  <w:tcW w:w="0" w:type="auto"/>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trPr>
              <w:tc>
                <w:tcPr>
                  <w:tcW w:w="0" w:type="auto"/>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地表水环境影响减缓措施</w:t>
                  </w:r>
                </w:p>
              </w:tc>
              <w:tc>
                <w:tcPr>
                  <w:tcW w:w="3185" w:type="dxa"/>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（1）入园企业应优先选用清洁原料，采用资源利用率高、污染物排放量少的工艺、设备以及废水综合利用技术，减少废水污染物产生。</w:t>
                  </w:r>
                </w:p>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（2）入园企业在满足企业用水安全的前提下，应控制新鲜水用量，并符合新建生产装置吨产品水耗达到国内行业先进水平；引进装置吨产品水耗达到国际先进水平；生产用水梯级利用、循环使用的规定；</w:t>
                  </w:r>
                </w:p>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（3）入园企业产生的各类污、废水应按雨污分流、清污分流、污污分流的原则分质处理；</w:t>
                  </w:r>
                </w:p>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（4）入园企业排入园区污水处理厂的废水应经过预处理，符合污水处理厂接管要求，并按“一企一管”制送至园区污水处理厂处理；</w:t>
                  </w:r>
                </w:p>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（5）根据入园企业的行业生产装置特点和污染特征进行污染区域划分，设置初期雨水收集池，将初期雨水收集处理后回用；</w:t>
                  </w:r>
                </w:p>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（6）根据入园企业的行业特点设置一定容积的应急事故水池，事故水池的设计应符合相关设计规范的要求，确保产生的事故废水不排入外环境；</w:t>
                  </w:r>
                </w:p>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在园区污水处理站、配套管网未建成运行之前，入园企业需自建污水处理设施，处理产生的各类污废水，并全部回用不外排。待园区规划污水处理站、配套管网设施建成后，可按优化调整建议的排水方案处理各类污废水。</w:t>
                  </w:r>
                </w:p>
              </w:tc>
              <w:tc>
                <w:tcPr>
                  <w:tcW w:w="2918" w:type="dxa"/>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项目的主要生产用水为</w:t>
                  </w:r>
                </w:p>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中空玻璃的清洗用水（不添加任何清洗剂）清洗废水流入机器自带的沉淀槽经静置沉淀后，</w:t>
                  </w:r>
                  <w:r>
                    <w:rPr>
                      <w:rFonts w:hint="default" w:ascii="Times New Roman" w:hAnsi="Times New Roman" w:cs="Times New Roman" w:eastAsiaTheme="minorEastAsia"/>
                      <w:color w:val="auto"/>
                      <w:sz w:val="21"/>
                      <w:szCs w:val="21"/>
                      <w:lang w:eastAsia="zh-CN"/>
                    </w:rPr>
                    <w:t>清洗水循环回用定期更换清洗废水，不外排</w:t>
                  </w:r>
                  <w:r>
                    <w:rPr>
                      <w:rFonts w:hint="default" w:ascii="Times New Roman" w:hAnsi="Times New Roman" w:cs="Times New Roman" w:eastAsiaTheme="minorEastAsia"/>
                      <w:color w:val="auto"/>
                      <w:sz w:val="21"/>
                      <w:szCs w:val="21"/>
                    </w:rPr>
                    <w:t>。</w:t>
                  </w:r>
                </w:p>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食堂废水经</w:t>
                  </w:r>
                  <w:r>
                    <w:rPr>
                      <w:rFonts w:hint="eastAsia" w:ascii="Times New Roman" w:hAnsi="Times New Roman" w:cs="Times New Roman" w:eastAsiaTheme="minorEastAsia"/>
                      <w:color w:val="auto"/>
                      <w:sz w:val="21"/>
                      <w:szCs w:val="21"/>
                      <w:lang w:eastAsia="zh-CN"/>
                    </w:rPr>
                    <w:t>油水分离器</w:t>
                  </w:r>
                  <w:r>
                    <w:rPr>
                      <w:rFonts w:hint="default" w:ascii="Times New Roman" w:hAnsi="Times New Roman" w:cs="Times New Roman" w:eastAsiaTheme="minorEastAsia"/>
                      <w:color w:val="auto"/>
                      <w:sz w:val="21"/>
                      <w:szCs w:val="21"/>
                    </w:rPr>
                    <w:t>处理后与其他生活污水一起经化粪池处理后，最终进入</w:t>
                  </w:r>
                  <w:r>
                    <w:rPr>
                      <w:rFonts w:hint="default" w:ascii="Times New Roman" w:hAnsi="Times New Roman" w:cs="Times New Roman" w:eastAsiaTheme="minorEastAsia"/>
                      <w:color w:val="auto"/>
                      <w:sz w:val="21"/>
                      <w:szCs w:val="21"/>
                      <w:lang w:eastAsia="zh-CN"/>
                    </w:rPr>
                    <w:t>云南鑫成鹏高分子科技有限公司</w:t>
                  </w:r>
                  <w:r>
                    <w:rPr>
                      <w:rFonts w:hint="default" w:ascii="Times New Roman" w:hAnsi="Times New Roman" w:cs="Times New Roman" w:eastAsiaTheme="minorEastAsia"/>
                      <w:color w:val="auto"/>
                      <w:sz w:val="21"/>
                      <w:szCs w:val="21"/>
                    </w:rPr>
                    <w:t>自建的一体化污水处理设施处理达标后晴天回用</w:t>
                  </w:r>
                </w:p>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于</w:t>
                  </w:r>
                  <w:r>
                    <w:rPr>
                      <w:rFonts w:hint="default" w:ascii="Times New Roman" w:hAnsi="Times New Roman" w:cs="Times New Roman" w:eastAsiaTheme="minorEastAsia"/>
                      <w:color w:val="auto"/>
                      <w:sz w:val="21"/>
                      <w:szCs w:val="21"/>
                      <w:lang w:eastAsia="zh-CN"/>
                    </w:rPr>
                    <w:t>云南鑫成鹏高分子科技有限公司</w:t>
                  </w:r>
                  <w:r>
                    <w:rPr>
                      <w:rFonts w:hint="default" w:ascii="Times New Roman" w:hAnsi="Times New Roman" w:cs="Times New Roman" w:eastAsiaTheme="minorEastAsia"/>
                      <w:color w:val="auto"/>
                      <w:sz w:val="21"/>
                      <w:szCs w:val="21"/>
                    </w:rPr>
                    <w:t>的绿化及道路洒水降尘，不外排，雨天暂存于回用水池。</w:t>
                  </w:r>
                </w:p>
              </w:tc>
              <w:tc>
                <w:tcPr>
                  <w:tcW w:w="0" w:type="auto"/>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1" w:hRule="atLeast"/>
              </w:trPr>
              <w:tc>
                <w:tcPr>
                  <w:tcW w:w="0" w:type="auto"/>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声环境影响减缓措施</w:t>
                  </w:r>
                </w:p>
              </w:tc>
              <w:tc>
                <w:tcPr>
                  <w:tcW w:w="3185" w:type="dxa"/>
                  <w:vAlign w:val="center"/>
                </w:tcPr>
                <w:p>
                  <w:pPr>
                    <w:keepNext w:val="0"/>
                    <w:keepLines w:val="0"/>
                    <w:pageBreakBefore w:val="0"/>
                    <w:kinsoku/>
                    <w:wordWrap/>
                    <w:overflowPunct/>
                    <w:topLinePunct w:val="0"/>
                    <w:autoSpaceDE/>
                    <w:autoSpaceDN/>
                    <w:bidi w:val="0"/>
                    <w:snapToGrid/>
                    <w:spacing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（1）对工业项目选址进行合理布局。将具有高噪声源的企业布置在远离居民点的地方，在靠近居民点的地方布置噪声污染较轻的企业。企业内部布局也应遵循这一原则。</w:t>
                  </w:r>
                </w:p>
                <w:p>
                  <w:pPr>
                    <w:keepNext w:val="0"/>
                    <w:keepLines w:val="0"/>
                    <w:pageBreakBefore w:val="0"/>
                    <w:kinsoku/>
                    <w:wordWrap/>
                    <w:overflowPunct/>
                    <w:topLinePunct w:val="0"/>
                    <w:autoSpaceDE/>
                    <w:autoSpaceDN/>
                    <w:bidi w:val="0"/>
                    <w:snapToGrid/>
                    <w:spacing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（2）从产业布局着手控制噪声，严格执行《以噪声污染为主的工业企业卫生防护距离标准》（GB18083-2000），要按噪声达标距离进行产业布局。</w:t>
                  </w:r>
                </w:p>
                <w:p>
                  <w:pPr>
                    <w:keepNext w:val="0"/>
                    <w:keepLines w:val="0"/>
                    <w:pageBreakBefore w:val="0"/>
                    <w:kinsoku/>
                    <w:wordWrap/>
                    <w:overflowPunct/>
                    <w:topLinePunct w:val="0"/>
                    <w:autoSpaceDE/>
                    <w:autoSpaceDN/>
                    <w:bidi w:val="0"/>
                    <w:snapToGrid/>
                    <w:spacing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入园企业应尽量选用低噪声设备和工艺，对高噪声设备采用安装减振装置、吸声（消声）设备，设备隔声罩、单独的隔声操作室等控制措施，有效降低噪声，确保厂界噪声达标排放。紧挨居民点的企业，应设置一定的噪声防护距离。</w:t>
                  </w:r>
                </w:p>
                <w:p>
                  <w:pPr>
                    <w:keepNext w:val="0"/>
                    <w:keepLines w:val="0"/>
                    <w:pageBreakBefore w:val="0"/>
                    <w:kinsoku/>
                    <w:wordWrap/>
                    <w:overflowPunct/>
                    <w:topLinePunct w:val="0"/>
                    <w:autoSpaceDE/>
                    <w:autoSpaceDN/>
                    <w:bidi w:val="0"/>
                    <w:snapToGrid/>
                    <w:spacing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声屏障的存在使声波不能直达受声点，从而使受声点噪声降低。声屏障通常指墙、建筑物、树丛等。因此应在厂区及厂区周围加强绿化植树，保护植被，以提高消声降噪效果；规划的生活服务设施与工业用地之间，要按照规划的要求设置足够的绿化隔离带，减缓工业企业噪声对生活服务集中区的影响。</w:t>
                  </w:r>
                </w:p>
                <w:p>
                  <w:pPr>
                    <w:keepNext w:val="0"/>
                    <w:keepLines w:val="0"/>
                    <w:pageBreakBefore w:val="0"/>
                    <w:kinsoku/>
                    <w:wordWrap/>
                    <w:overflowPunct/>
                    <w:topLinePunct w:val="0"/>
                    <w:autoSpaceDE/>
                    <w:autoSpaceDN/>
                    <w:bidi w:val="0"/>
                    <w:snapToGrid/>
                    <w:spacing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为减小对自然保护区的影响，规划在实施过程中，产生噪声源较大的企业应尽量远离自然保护区布置，减小对该区域的影响。在主要道路两侧设一定宽度的防护绿化带，可有效降低交通噪声。同时，加强交通管理，合理分配交通干线上车辆，靠近自然保护区一侧尽量避免大型运输车辆通过，减少交通噪声对该区域的影响。</w:t>
                  </w:r>
                </w:p>
              </w:tc>
              <w:tc>
                <w:tcPr>
                  <w:tcW w:w="2918" w:type="dxa"/>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jc w:val="left"/>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本项目高噪声设备（空压机）均设置在厂房内远离居民点；</w:t>
                  </w:r>
                </w:p>
                <w:p>
                  <w:pPr>
                    <w:keepNext w:val="0"/>
                    <w:keepLines w:val="0"/>
                    <w:pageBreakBefore w:val="0"/>
                    <w:kinsoku/>
                    <w:wordWrap/>
                    <w:overflowPunct/>
                    <w:topLinePunct w:val="0"/>
                    <w:autoSpaceDE/>
                    <w:autoSpaceDN/>
                    <w:bidi w:val="0"/>
                    <w:snapToGrid/>
                    <w:spacing w:line="360" w:lineRule="auto"/>
                    <w:ind w:firstLine="0" w:firstLineChars="0"/>
                    <w:jc w:val="left"/>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严格执行《以噪声污染为主的工业企业卫生防护距离标准》（GB18083-2000），要按噪声达标距离进行产业布局</w:t>
                  </w:r>
                  <w:r>
                    <w:rPr>
                      <w:rFonts w:hint="default" w:ascii="Times New Roman" w:hAnsi="Times New Roman" w:cs="Times New Roman" w:eastAsiaTheme="minorEastAsia"/>
                      <w:color w:val="auto"/>
                      <w:sz w:val="21"/>
                      <w:szCs w:val="21"/>
                      <w:lang w:eastAsia="zh-CN"/>
                    </w:rPr>
                    <w:t>；</w:t>
                  </w:r>
                </w:p>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jc w:val="left"/>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项目通过选用低噪声设备，合理布局，对高噪声设备采取隔声、消声、减震措施后</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噪声能达标排放；</w:t>
                  </w:r>
                </w:p>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项目</w:t>
                  </w:r>
                  <w:r>
                    <w:rPr>
                      <w:rFonts w:hint="default" w:ascii="Times New Roman" w:hAnsi="Times New Roman" w:cs="Times New Roman" w:eastAsiaTheme="minorEastAsia"/>
                      <w:color w:val="auto"/>
                      <w:sz w:val="21"/>
                      <w:szCs w:val="21"/>
                    </w:rPr>
                    <w:t>按照规划的要求设置足够的绿化隔离带，减缓工业企业噪声对生活服务集中区的影响。</w:t>
                  </w:r>
                </w:p>
                <w:p>
                  <w:pPr>
                    <w:ind w:left="0" w:leftChars="0" w:firstLine="0" w:firstLineChars="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项目主要产噪设施均位于厂房内，</w:t>
                  </w:r>
                  <w:r>
                    <w:rPr>
                      <w:rFonts w:hint="default" w:ascii="Times New Roman" w:hAnsi="Times New Roman" w:cs="Times New Roman" w:eastAsiaTheme="minorEastAsia"/>
                      <w:color w:val="auto"/>
                      <w:sz w:val="21"/>
                      <w:szCs w:val="21"/>
                    </w:rPr>
                    <w:t>远离自然保护区布置，减小对该区域的影响。在主要道路两侧设一定宽度的防护绿化带，可有效降低交通噪声。同时，加强交通管理，合理分配交通干线上车辆，靠近自然保护区一侧尽量避免大型运输车辆通过，减少交通噪声对该区域的影响。</w:t>
                  </w:r>
                </w:p>
                <w:p>
                  <w:pPr>
                    <w:ind w:left="0" w:leftChars="0" w:firstLine="0" w:firstLineChars="0"/>
                    <w:rPr>
                      <w:rFonts w:hint="default" w:ascii="Times New Roman" w:hAnsi="Times New Roman" w:cs="Times New Roman" w:eastAsiaTheme="minorEastAsia"/>
                      <w:color w:val="auto"/>
                      <w:sz w:val="21"/>
                      <w:szCs w:val="21"/>
                      <w:lang w:val="en-US" w:eastAsia="zh-CN"/>
                    </w:rPr>
                  </w:pPr>
                </w:p>
              </w:tc>
              <w:tc>
                <w:tcPr>
                  <w:tcW w:w="0" w:type="auto"/>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固体废物环境影响减缓措施</w:t>
                  </w:r>
                </w:p>
              </w:tc>
              <w:tc>
                <w:tcPr>
                  <w:tcW w:w="3185" w:type="dxa"/>
                  <w:vAlign w:val="center"/>
                </w:tcPr>
                <w:p>
                  <w:pPr>
                    <w:keepNext w:val="0"/>
                    <w:keepLines w:val="0"/>
                    <w:pageBreakBefore w:val="0"/>
                    <w:numPr>
                      <w:ilvl w:val="0"/>
                      <w:numId w:val="3"/>
                    </w:numPr>
                    <w:kinsoku/>
                    <w:wordWrap/>
                    <w:overflowPunct/>
                    <w:topLinePunct w:val="0"/>
                    <w:autoSpaceDE/>
                    <w:autoSpaceDN/>
                    <w:bidi w:val="0"/>
                    <w:snapToGrid/>
                    <w:spacing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大力推行清洁生产和循环经济，从源头上减少工业固体废物的产生量，明确入园条件，以清洁生产和技术进步为准绳，对进入园区的工业企业进行严格把关，禁止生产工艺落后、装备水平低下、“三废”产生和排放量大的企业入园。</w:t>
                  </w:r>
                </w:p>
                <w:p>
                  <w:pPr>
                    <w:keepNext w:val="0"/>
                    <w:keepLines w:val="0"/>
                    <w:pageBreakBefore w:val="0"/>
                    <w:kinsoku/>
                    <w:wordWrap/>
                    <w:overflowPunct/>
                    <w:topLinePunct w:val="0"/>
                    <w:autoSpaceDE/>
                    <w:autoSpaceDN/>
                    <w:bidi w:val="0"/>
                    <w:snapToGrid/>
                    <w:spacing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（2）生活垃圾的处置，在澄江生活垃圾焚烧发电项目未建成运行前，园区内产生的生活垃圾委托环卫部门统一收集后运至</w:t>
                  </w:r>
                  <w:r>
                    <w:rPr>
                      <w:rFonts w:hint="default" w:ascii="Times New Roman" w:hAnsi="Times New Roman" w:cs="Times New Roman" w:eastAsiaTheme="minorEastAsia"/>
                      <w:color w:val="auto"/>
                      <w:kern w:val="0"/>
                      <w:sz w:val="21"/>
                      <w:szCs w:val="21"/>
                      <w:lang w:bidi="ar"/>
                    </w:rPr>
                    <w:t>澄江市九村镇应急填埋场填埋处置；垃圾焚烧发电项目建成运行后，</w:t>
                  </w:r>
                  <w:r>
                    <w:rPr>
                      <w:rFonts w:hint="default" w:ascii="Times New Roman" w:hAnsi="Times New Roman" w:cs="Times New Roman" w:eastAsiaTheme="minorEastAsia"/>
                      <w:color w:val="auto"/>
                      <w:sz w:val="21"/>
                      <w:szCs w:val="21"/>
                    </w:rPr>
                    <w:t>生活垃圾可运至</w:t>
                  </w:r>
                  <w:r>
                    <w:rPr>
                      <w:rFonts w:hint="default" w:ascii="Times New Roman" w:hAnsi="Times New Roman" w:cs="Times New Roman" w:eastAsiaTheme="minorEastAsia"/>
                      <w:color w:val="auto"/>
                      <w:kern w:val="0"/>
                      <w:sz w:val="21"/>
                      <w:szCs w:val="21"/>
                      <w:lang w:bidi="ar"/>
                    </w:rPr>
                    <w:t>垃圾焚烧发电项目处置。</w:t>
                  </w:r>
                </w:p>
              </w:tc>
              <w:tc>
                <w:tcPr>
                  <w:tcW w:w="2918" w:type="dxa"/>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生活垃圾、餐饮垃圾、</w:t>
                  </w:r>
                  <w:r>
                    <w:rPr>
                      <w:rFonts w:hint="eastAsia" w:ascii="Times New Roman" w:hAnsi="Times New Roman" w:cs="Times New Roman" w:eastAsiaTheme="minorEastAsia"/>
                      <w:color w:val="auto"/>
                      <w:sz w:val="21"/>
                      <w:szCs w:val="21"/>
                      <w:lang w:eastAsia="zh-CN"/>
                    </w:rPr>
                    <w:t>油水分离器</w:t>
                  </w:r>
                  <w:r>
                    <w:rPr>
                      <w:rFonts w:hint="default" w:ascii="Times New Roman" w:hAnsi="Times New Roman" w:cs="Times New Roman" w:eastAsiaTheme="minorEastAsia"/>
                      <w:color w:val="auto"/>
                      <w:sz w:val="21"/>
                      <w:szCs w:val="21"/>
                    </w:rPr>
                    <w:t>油污、化粪池污泥、一体化污水处理设施交与云南鑫成鹏高分子科技有限公司一同委托环卫部门定期清掏和清运处置。废玻璃边角料、玻璃次品、包装固废、沉淀槽收集的玻璃碎屑外售回收处理、废弃密封胶桶由厂家定期回收，废活性炭、废润滑油、废润滑油桶、废含油手套委托</w:t>
                  </w:r>
                  <w:r>
                    <w:rPr>
                      <w:rFonts w:hint="default" w:ascii="Times New Roman" w:hAnsi="Times New Roman" w:cs="Times New Roman" w:eastAsiaTheme="minorEastAsia"/>
                      <w:color w:val="auto"/>
                      <w:sz w:val="21"/>
                      <w:szCs w:val="21"/>
                      <w:lang w:eastAsia="zh-CN"/>
                    </w:rPr>
                    <w:t>有资质单位清运处置</w:t>
                  </w:r>
                  <w:r>
                    <w:rPr>
                      <w:rFonts w:hint="default" w:ascii="Times New Roman" w:hAnsi="Times New Roman" w:cs="Times New Roman" w:eastAsiaTheme="minorEastAsia"/>
                      <w:color w:val="auto"/>
                      <w:sz w:val="21"/>
                      <w:szCs w:val="21"/>
                    </w:rPr>
                    <w:t>。</w:t>
                  </w:r>
                </w:p>
              </w:tc>
              <w:tc>
                <w:tcPr>
                  <w:tcW w:w="0" w:type="auto"/>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风险</w:t>
                  </w:r>
                  <w:r>
                    <w:rPr>
                      <w:rFonts w:hint="default" w:ascii="Times New Roman" w:hAnsi="Times New Roman" w:cs="Times New Roman" w:eastAsiaTheme="minorEastAsia"/>
                      <w:color w:val="auto"/>
                      <w:sz w:val="21"/>
                      <w:szCs w:val="21"/>
                    </w:rPr>
                    <w:t>环境影响减缓措施</w:t>
                  </w:r>
                </w:p>
              </w:tc>
              <w:tc>
                <w:tcPr>
                  <w:tcW w:w="3185" w:type="dxa"/>
                  <w:vAlign w:val="center"/>
                </w:tcPr>
                <w:p>
                  <w:pPr>
                    <w:keepNext w:val="0"/>
                    <w:keepLines w:val="0"/>
                    <w:pageBreakBefore w:val="0"/>
                    <w:kinsoku/>
                    <w:wordWrap/>
                    <w:overflowPunct/>
                    <w:topLinePunct w:val="0"/>
                    <w:autoSpaceDE/>
                    <w:autoSpaceDN/>
                    <w:bidi w:val="0"/>
                    <w:snapToGrid/>
                    <w:spacing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（1）根据进驻项目可能发生的风险事故和清消废水产生量，对存在环境风险的项目，在进行设计施工时，设置清消废水收集池，清消废水经收集处理达标后才能外排。</w:t>
                  </w:r>
                </w:p>
                <w:p>
                  <w:pPr>
                    <w:keepNext w:val="0"/>
                    <w:keepLines w:val="0"/>
                    <w:pageBreakBefore w:val="0"/>
                    <w:kinsoku/>
                    <w:wordWrap/>
                    <w:overflowPunct/>
                    <w:topLinePunct w:val="0"/>
                    <w:autoSpaceDE/>
                    <w:autoSpaceDN/>
                    <w:bidi w:val="0"/>
                    <w:snapToGrid/>
                    <w:spacing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对于涉及使用易燃易爆危险化学品的企业进驻园区时，要做好该距离范围内的火灾、爆炸防护工作，通过对进驻企业进行安全或风险评价，提出合理的防护距离，在该距离范围内，不得堆放易燃、易爆、有毒有害等危险化学品，并预留消防通道。</w:t>
                  </w:r>
                </w:p>
                <w:p>
                  <w:pPr>
                    <w:keepNext w:val="0"/>
                    <w:keepLines w:val="0"/>
                    <w:pageBreakBefore w:val="0"/>
                    <w:kinsoku/>
                    <w:wordWrap/>
                    <w:overflowPunct/>
                    <w:topLinePunct w:val="0"/>
                    <w:autoSpaceDE/>
                    <w:autoSpaceDN/>
                    <w:bidi w:val="0"/>
                    <w:snapToGrid/>
                    <w:spacing w:line="360" w:lineRule="auto"/>
                    <w:ind w:firstLine="0" w:firstLine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建立区域环境安全应急体系为了及时、有效、安全地预防和处置工业区范围内发生的各类突发性环境污染事件，建立、健全和完善突发性环境污染事件应急机制，提高应对突发性环境污染事件的应对能力，力争将突发性环境污染事件所造成的损失控制在最小范围和程度内，保障区域公众人身安全、财产、环境安全、生态安全，维护社会稳定，促进区域社会、经济、自然的全面、协调、可持续发展</w:t>
                  </w:r>
                </w:p>
              </w:tc>
              <w:tc>
                <w:tcPr>
                  <w:tcW w:w="2918" w:type="dxa"/>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项目设置有一个事故应急池，用于暂存消防废水；项目设置有危险废物暂存间用于暂存易燃易爆危险废物，并制定危险废物管理制度及应急要求；项目建成后</w:t>
                  </w:r>
                  <w:r>
                    <w:rPr>
                      <w:rFonts w:hint="default" w:ascii="Times New Roman" w:hAnsi="Times New Roman" w:cs="Times New Roman" w:eastAsiaTheme="minorEastAsia"/>
                      <w:color w:val="auto"/>
                      <w:spacing w:val="-1"/>
                      <w:sz w:val="21"/>
                      <w:szCs w:val="21"/>
                    </w:rPr>
                    <w:t>，建设单位</w:t>
                  </w:r>
                  <w:r>
                    <w:rPr>
                      <w:rFonts w:hint="default" w:ascii="Times New Roman" w:hAnsi="Times New Roman" w:cs="Times New Roman" w:eastAsiaTheme="minorEastAsia"/>
                      <w:color w:val="auto"/>
                      <w:spacing w:val="-1"/>
                      <w:sz w:val="21"/>
                      <w:szCs w:val="21"/>
                      <w:lang w:val="en-US" w:eastAsia="zh-CN"/>
                    </w:rPr>
                    <w:t>将</w:t>
                  </w:r>
                  <w:r>
                    <w:rPr>
                      <w:rFonts w:hint="default" w:ascii="Times New Roman" w:hAnsi="Times New Roman" w:cs="Times New Roman" w:eastAsiaTheme="minorEastAsia"/>
                      <w:color w:val="auto"/>
                      <w:spacing w:val="-1"/>
                      <w:sz w:val="21"/>
                      <w:szCs w:val="21"/>
                    </w:rPr>
                    <w:t>编制《突发事故环境风险应急预案》</w:t>
                  </w:r>
                  <w:r>
                    <w:rPr>
                      <w:rFonts w:hint="default" w:ascii="Times New Roman" w:hAnsi="Times New Roman" w:cs="Times New Roman" w:eastAsiaTheme="minorEastAsia"/>
                      <w:color w:val="auto"/>
                      <w:spacing w:val="-1"/>
                      <w:sz w:val="21"/>
                      <w:szCs w:val="21"/>
                      <w:lang w:val="en-US" w:eastAsia="zh-CN"/>
                    </w:rPr>
                    <w:t>并</w:t>
                  </w:r>
                  <w:r>
                    <w:rPr>
                      <w:rFonts w:hint="default" w:ascii="Times New Roman" w:hAnsi="Times New Roman" w:cs="Times New Roman" w:eastAsiaTheme="minorEastAsia"/>
                      <w:color w:val="auto"/>
                      <w:spacing w:val="-1"/>
                      <w:sz w:val="21"/>
                      <w:szCs w:val="21"/>
                    </w:rPr>
                    <w:t>报送</w:t>
                  </w:r>
                  <w:r>
                    <w:rPr>
                      <w:rFonts w:hint="default" w:ascii="Times New Roman" w:hAnsi="Times New Roman" w:cs="Times New Roman" w:eastAsiaTheme="minorEastAsia"/>
                      <w:color w:val="auto"/>
                      <w:spacing w:val="-1"/>
                      <w:sz w:val="21"/>
                      <w:szCs w:val="21"/>
                      <w:lang w:val="en-US" w:eastAsia="zh-CN"/>
                    </w:rPr>
                    <w:t>玉溪市生态环境局澄江分局</w:t>
                  </w:r>
                  <w:r>
                    <w:rPr>
                      <w:rFonts w:hint="default" w:ascii="Times New Roman" w:hAnsi="Times New Roman" w:cs="Times New Roman" w:eastAsiaTheme="minorEastAsia"/>
                      <w:color w:val="auto"/>
                      <w:spacing w:val="-1"/>
                      <w:sz w:val="21"/>
                      <w:szCs w:val="21"/>
                    </w:rPr>
                    <w:t>进行备案。</w:t>
                  </w:r>
                </w:p>
              </w:tc>
              <w:tc>
                <w:tcPr>
                  <w:tcW w:w="0" w:type="auto"/>
                  <w:vAlign w:val="center"/>
                </w:tcPr>
                <w:p>
                  <w:pPr>
                    <w:pStyle w:val="38"/>
                    <w:keepNext w:val="0"/>
                    <w:keepLines w:val="0"/>
                    <w:pageBreakBefore w:val="0"/>
                    <w:widowControl/>
                    <w:kinsoku/>
                    <w:wordWrap/>
                    <w:overflowPunct/>
                    <w:topLinePunct w:val="0"/>
                    <w:autoSpaceDE/>
                    <w:autoSpaceDN/>
                    <w:bidi w:val="0"/>
                    <w:snapToGrid/>
                    <w:spacing w:beforeLines="0" w:afterLines="0" w:line="360" w:lineRule="auto"/>
                    <w:ind w:firstLine="0" w:firstLineChars="0"/>
                    <w:textAlignment w:val="auto"/>
                    <w:rPr>
                      <w:rFonts w:hint="default" w:ascii="Times New Roman" w:hAnsi="Times New Roman" w:cs="Times New Roman" w:eastAsiaTheme="minorEastAsia"/>
                      <w:color w:val="auto"/>
                      <w:sz w:val="21"/>
                      <w:szCs w:val="21"/>
                    </w:rPr>
                  </w:pPr>
                </w:p>
              </w:tc>
            </w:tr>
          </w:tbl>
          <w:p>
            <w:pPr>
              <w:pageBreakBefore w:val="0"/>
              <w:kinsoku/>
              <w:wordWrap/>
              <w:overflowPunct/>
              <w:topLinePunct w:val="0"/>
              <w:bidi w:val="0"/>
              <w:adjustRightInd w:val="0"/>
              <w:snapToGrid w:val="0"/>
              <w:spacing w:line="360" w:lineRule="auto"/>
              <w:ind w:firstLine="0" w:firstLineChars="0"/>
              <w:rPr>
                <w:rFonts w:hint="default" w:ascii="Times New Roman" w:hAnsi="Times New Roman" w:cs="Times New Roman" w:eastAsiaTheme="minorEastAsia"/>
                <w:color w:val="auto"/>
                <w:szCs w:val="21"/>
                <w:lang w:val="zh-CN"/>
              </w:rPr>
            </w:pPr>
            <w:r>
              <w:rPr>
                <w:rFonts w:hint="default" w:ascii="Times New Roman" w:hAnsi="Times New Roman" w:cs="Times New Roman" w:eastAsiaTheme="minorEastAsia"/>
                <w:color w:val="auto"/>
                <w:szCs w:val="21"/>
              </w:rPr>
              <w:t>综上</w:t>
            </w:r>
            <w:r>
              <w:rPr>
                <w:rFonts w:hint="default" w:ascii="Times New Roman" w:hAnsi="Times New Roman" w:cs="Times New Roman" w:eastAsiaTheme="minorEastAsia"/>
                <w:color w:val="auto"/>
                <w:szCs w:val="21"/>
                <w:lang w:val="zh-CN"/>
              </w:rPr>
              <w:t>，</w:t>
            </w:r>
            <w:r>
              <w:rPr>
                <w:rFonts w:hint="default" w:ascii="Times New Roman" w:hAnsi="Times New Roman" w:cs="Times New Roman" w:eastAsiaTheme="minorEastAsia"/>
                <w:color w:val="auto"/>
                <w:szCs w:val="21"/>
              </w:rPr>
              <w:t>项目</w:t>
            </w:r>
            <w:r>
              <w:rPr>
                <w:rFonts w:hint="default" w:ascii="Times New Roman" w:hAnsi="Times New Roman" w:cs="Times New Roman" w:eastAsiaTheme="minorEastAsia"/>
                <w:color w:val="auto"/>
                <w:szCs w:val="21"/>
                <w:lang w:val="zh-CN"/>
              </w:rPr>
              <w:t>符合《云南澄江产业园区总体规划[修编]（2021-2035）环境影响报告书》的相关要求。</w:t>
            </w:r>
          </w:p>
          <w:p>
            <w:pPr>
              <w:pageBreakBefore w:val="0"/>
              <w:kinsoku/>
              <w:wordWrap/>
              <w:overflowPunct/>
              <w:topLinePunct w:val="0"/>
              <w:bidi w:val="0"/>
              <w:adjustRightInd w:val="0"/>
              <w:snapToGrid w:val="0"/>
              <w:spacing w:line="360" w:lineRule="auto"/>
              <w:ind w:firstLine="0" w:firstLineChars="0"/>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（3）本项目与规划环评审查意见（云环函[2020]261号）的符合性分析</w:t>
            </w:r>
          </w:p>
          <w:p>
            <w:pPr>
              <w:pageBreakBefore w:val="0"/>
              <w:kinsoku/>
              <w:wordWrap/>
              <w:overflowPunct/>
              <w:topLinePunct w:val="0"/>
              <w:bidi w:val="0"/>
              <w:adjustRightInd w:val="0"/>
              <w:snapToGrid w:val="0"/>
              <w:spacing w:line="360" w:lineRule="auto"/>
              <w:ind w:firstLine="0" w:firstLineChars="0"/>
              <w:rPr>
                <w:rFonts w:hint="default" w:ascii="Times New Roman" w:hAnsi="Times New Roman" w:cs="Times New Roman" w:eastAsiaTheme="minorEastAsia"/>
                <w:color w:val="auto"/>
                <w:szCs w:val="21"/>
                <w:lang w:val="zh-CN"/>
              </w:rPr>
            </w:pPr>
            <w:r>
              <w:rPr>
                <w:rFonts w:hint="default" w:ascii="Times New Roman" w:hAnsi="Times New Roman" w:cs="Times New Roman" w:eastAsiaTheme="minorEastAsia"/>
                <w:color w:val="auto"/>
                <w:szCs w:val="21"/>
              </w:rPr>
              <w:t>项目与规划环评审查意见</w:t>
            </w:r>
            <w:r>
              <w:rPr>
                <w:rFonts w:hint="default" w:ascii="Times New Roman" w:hAnsi="Times New Roman" w:cs="Times New Roman" w:eastAsiaTheme="minorEastAsia"/>
                <w:color w:val="auto"/>
                <w:szCs w:val="21"/>
                <w:lang w:val="zh-CN"/>
              </w:rPr>
              <w:t>对照情况如下：</w:t>
            </w:r>
          </w:p>
          <w:p>
            <w:pPr>
              <w:pStyle w:val="26"/>
              <w:pageBreakBefore w:val="0"/>
              <w:kinsoku/>
              <w:wordWrap/>
              <w:overflowPunct/>
              <w:topLinePunct w:val="0"/>
              <w:bidi w:val="0"/>
              <w:spacing w:before="0" w:after="0" w:line="360" w:lineRule="auto"/>
              <w:ind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表1-3项目与园区规划环评审查意见相符性分析</w:t>
            </w: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6"/>
              <w:gridCol w:w="2901"/>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pct"/>
                  <w:vAlign w:val="center"/>
                </w:tcPr>
                <w:p>
                  <w:pPr>
                    <w:pStyle w:val="26"/>
                    <w:pageBreakBefore w:val="0"/>
                    <w:widowControl w:val="0"/>
                    <w:kinsoku/>
                    <w:wordWrap/>
                    <w:overflowPunct/>
                    <w:topLinePunct w:val="0"/>
                    <w:bidi w:val="0"/>
                    <w:snapToGrid/>
                    <w:spacing w:after="0" w:line="240" w:lineRule="auto"/>
                    <w:ind w:firstLine="0" w:firstLineChars="0"/>
                    <w:jc w:val="center"/>
                    <w:rPr>
                      <w:rFonts w:hint="default" w:ascii="Times New Roman" w:hAnsi="Times New Roman" w:cs="Times New Roman" w:eastAsiaTheme="minorEastAsia"/>
                      <w:b/>
                      <w:bCs/>
                      <w:color w:val="auto"/>
                      <w:kern w:val="2"/>
                      <w:sz w:val="21"/>
                      <w:szCs w:val="21"/>
                    </w:rPr>
                  </w:pPr>
                  <w:r>
                    <w:rPr>
                      <w:rFonts w:hint="default" w:ascii="Times New Roman" w:hAnsi="Times New Roman" w:cs="Times New Roman" w:eastAsiaTheme="minorEastAsia"/>
                      <w:b/>
                      <w:bCs/>
                      <w:color w:val="auto"/>
                      <w:sz w:val="21"/>
                      <w:szCs w:val="21"/>
                    </w:rPr>
                    <w:t>园区规划环评审查意见</w:t>
                  </w:r>
                </w:p>
              </w:tc>
              <w:tc>
                <w:tcPr>
                  <w:tcW w:w="1966" w:type="pct"/>
                  <w:vAlign w:val="center"/>
                </w:tcPr>
                <w:p>
                  <w:pPr>
                    <w:pStyle w:val="26"/>
                    <w:pageBreakBefore w:val="0"/>
                    <w:widowControl w:val="0"/>
                    <w:kinsoku/>
                    <w:wordWrap/>
                    <w:overflowPunct/>
                    <w:topLinePunct w:val="0"/>
                    <w:bidi w:val="0"/>
                    <w:snapToGrid/>
                    <w:spacing w:after="0" w:line="240" w:lineRule="auto"/>
                    <w:ind w:firstLine="0" w:firstLineChars="0"/>
                    <w:jc w:val="center"/>
                    <w:rPr>
                      <w:rFonts w:hint="default" w:ascii="Times New Roman" w:hAnsi="Times New Roman" w:cs="Times New Roman" w:eastAsiaTheme="minorEastAsia"/>
                      <w:b/>
                      <w:bCs/>
                      <w:color w:val="auto"/>
                      <w:kern w:val="2"/>
                      <w:sz w:val="21"/>
                      <w:szCs w:val="21"/>
                    </w:rPr>
                  </w:pPr>
                  <w:r>
                    <w:rPr>
                      <w:rFonts w:hint="default" w:ascii="Times New Roman" w:hAnsi="Times New Roman" w:cs="Times New Roman" w:eastAsiaTheme="minorEastAsia"/>
                      <w:b/>
                      <w:bCs/>
                      <w:color w:val="auto"/>
                      <w:sz w:val="21"/>
                      <w:szCs w:val="21"/>
                    </w:rPr>
                    <w:t>本项目</w:t>
                  </w:r>
                </w:p>
              </w:tc>
              <w:tc>
                <w:tcPr>
                  <w:tcW w:w="515" w:type="pct"/>
                  <w:vAlign w:val="center"/>
                </w:tcPr>
                <w:p>
                  <w:pPr>
                    <w:pStyle w:val="26"/>
                    <w:pageBreakBefore w:val="0"/>
                    <w:widowControl w:val="0"/>
                    <w:kinsoku/>
                    <w:wordWrap/>
                    <w:overflowPunct/>
                    <w:topLinePunct w:val="0"/>
                    <w:bidi w:val="0"/>
                    <w:snapToGrid/>
                    <w:spacing w:after="0" w:line="240" w:lineRule="auto"/>
                    <w:ind w:firstLine="0" w:firstLineChars="0"/>
                    <w:jc w:val="center"/>
                    <w:rPr>
                      <w:rFonts w:hint="default" w:ascii="Times New Roman" w:hAnsi="Times New Roman" w:cs="Times New Roman" w:eastAsiaTheme="minorEastAsia"/>
                      <w:b/>
                      <w:bCs/>
                      <w:color w:val="auto"/>
                      <w:kern w:val="2"/>
                      <w:sz w:val="21"/>
                      <w:szCs w:val="21"/>
                    </w:rPr>
                  </w:pPr>
                  <w:r>
                    <w:rPr>
                      <w:rFonts w:hint="default" w:ascii="Times New Roman" w:hAnsi="Times New Roman" w:cs="Times New Roman" w:eastAsiaTheme="minorEastAsia"/>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pct"/>
                  <w:vAlign w:val="center"/>
                </w:tcPr>
                <w:p>
                  <w:pPr>
                    <w:pStyle w:val="65"/>
                    <w:keepLines w:val="0"/>
                    <w:pageBreakBefore w:val="0"/>
                    <w:kinsoku/>
                    <w:wordWrap/>
                    <w:overflowPunct/>
                    <w:topLinePunct w:val="0"/>
                    <w:bidi w:val="0"/>
                    <w:snapToGrid w:val="0"/>
                    <w:spacing w:before="0" w:after="0"/>
                    <w:ind w:firstLine="0" w:firstLineChars="0"/>
                    <w:jc w:val="left"/>
                    <w:rPr>
                      <w:rFonts w:hint="default" w:ascii="Times New Roman" w:hAnsi="Times New Roman" w:cs="Times New Roman" w:eastAsiaTheme="minorEastAsia"/>
                      <w:b w:val="0"/>
                      <w:bCs/>
                      <w:color w:val="auto"/>
                      <w:kern w:val="2"/>
                      <w:sz w:val="21"/>
                      <w:szCs w:val="21"/>
                    </w:rPr>
                  </w:pPr>
                  <w:r>
                    <w:rPr>
                      <w:rFonts w:hint="default" w:ascii="Times New Roman" w:hAnsi="Times New Roman" w:cs="Times New Roman" w:eastAsiaTheme="minorEastAsia"/>
                      <w:b w:val="0"/>
                      <w:bCs/>
                      <w:color w:val="auto"/>
                      <w:kern w:val="2"/>
                      <w:sz w:val="21"/>
                      <w:szCs w:val="21"/>
                    </w:rPr>
                    <w:t>进一步优化园区空间布局，加强空间管控，严格对环境敏感区的保护，合理控制园区产业规模和开发强度，严禁不符合管控要求的各类开发和建设活动。提古片区位于滇池三级保护区内，应严格遵守《云南省滇池保护条例》的相关要求，入驻项目产生的生产废水和生活污水经处理达标后实现片区综合回用，严禁外排；园区内工业用地与人口密集区应合理设置绿化隔离带，留出必要的防护距离。</w:t>
                  </w:r>
                </w:p>
              </w:tc>
              <w:tc>
                <w:tcPr>
                  <w:tcW w:w="1966" w:type="pct"/>
                  <w:vAlign w:val="center"/>
                </w:tcPr>
                <w:p>
                  <w:pPr>
                    <w:pStyle w:val="65"/>
                    <w:keepLines w:val="0"/>
                    <w:pageBreakBefore w:val="0"/>
                    <w:kinsoku/>
                    <w:wordWrap/>
                    <w:overflowPunct/>
                    <w:topLinePunct w:val="0"/>
                    <w:bidi w:val="0"/>
                    <w:snapToGrid w:val="0"/>
                    <w:spacing w:before="0" w:after="0"/>
                    <w:ind w:firstLine="0" w:firstLineChars="0"/>
                    <w:jc w:val="left"/>
                    <w:rPr>
                      <w:rFonts w:hint="default" w:ascii="Times New Roman" w:hAnsi="Times New Roman" w:cs="Times New Roman" w:eastAsiaTheme="minorEastAsia"/>
                      <w:b w:val="0"/>
                      <w:bCs/>
                      <w:color w:val="auto"/>
                      <w:kern w:val="2"/>
                      <w:sz w:val="21"/>
                      <w:szCs w:val="21"/>
                    </w:rPr>
                  </w:pPr>
                  <w:r>
                    <w:rPr>
                      <w:rFonts w:hint="default" w:ascii="Times New Roman" w:hAnsi="Times New Roman" w:cs="Times New Roman" w:eastAsiaTheme="minorEastAsia"/>
                      <w:b w:val="0"/>
                      <w:bCs/>
                      <w:color w:val="auto"/>
                      <w:kern w:val="2"/>
                      <w:sz w:val="21"/>
                      <w:szCs w:val="21"/>
                    </w:rPr>
                    <w:t>项目的主要生产用水为中空玻璃的清洗用水（不添加任何清洗剂）清洗废水流入机器自带的沉淀槽经静置沉淀后，</w:t>
                  </w:r>
                  <w:r>
                    <w:rPr>
                      <w:rFonts w:hint="default" w:ascii="Times New Roman" w:hAnsi="Times New Roman" w:cs="Times New Roman" w:eastAsiaTheme="minorEastAsia"/>
                      <w:b w:val="0"/>
                      <w:bCs/>
                      <w:color w:val="auto"/>
                      <w:kern w:val="2"/>
                      <w:sz w:val="21"/>
                      <w:szCs w:val="21"/>
                      <w:lang w:eastAsia="zh-CN"/>
                    </w:rPr>
                    <w:t>清洗水循环回用定期更换清洗废水，不外排</w:t>
                  </w:r>
                  <w:r>
                    <w:rPr>
                      <w:rFonts w:hint="default" w:ascii="Times New Roman" w:hAnsi="Times New Roman" w:cs="Times New Roman" w:eastAsiaTheme="minorEastAsia"/>
                      <w:b w:val="0"/>
                      <w:bCs/>
                      <w:color w:val="auto"/>
                      <w:kern w:val="2"/>
                      <w:sz w:val="21"/>
                      <w:szCs w:val="21"/>
                    </w:rPr>
                    <w:t>。食堂废水经</w:t>
                  </w:r>
                  <w:r>
                    <w:rPr>
                      <w:rFonts w:hint="eastAsia" w:ascii="Times New Roman" w:hAnsi="Times New Roman" w:cs="Times New Roman" w:eastAsiaTheme="minorEastAsia"/>
                      <w:b w:val="0"/>
                      <w:bCs/>
                      <w:color w:val="auto"/>
                      <w:kern w:val="2"/>
                      <w:sz w:val="21"/>
                      <w:szCs w:val="21"/>
                      <w:lang w:eastAsia="zh-CN"/>
                    </w:rPr>
                    <w:t>油水分离器</w:t>
                  </w:r>
                  <w:r>
                    <w:rPr>
                      <w:rFonts w:hint="default" w:ascii="Times New Roman" w:hAnsi="Times New Roman" w:cs="Times New Roman" w:eastAsiaTheme="minorEastAsia"/>
                      <w:b w:val="0"/>
                      <w:bCs/>
                      <w:color w:val="auto"/>
                      <w:kern w:val="2"/>
                      <w:sz w:val="21"/>
                      <w:szCs w:val="21"/>
                    </w:rPr>
                    <w:t>处理后与其他生活污水一起经化粪池处理后，最终进入</w:t>
                  </w:r>
                  <w:r>
                    <w:rPr>
                      <w:rFonts w:hint="default" w:ascii="Times New Roman" w:hAnsi="Times New Roman" w:cs="Times New Roman" w:eastAsiaTheme="minorEastAsia"/>
                      <w:b w:val="0"/>
                      <w:bCs/>
                      <w:color w:val="auto"/>
                      <w:kern w:val="2"/>
                      <w:sz w:val="21"/>
                      <w:szCs w:val="21"/>
                      <w:lang w:eastAsia="zh-CN"/>
                    </w:rPr>
                    <w:t>云南鑫成鹏高分子科技有限公司</w:t>
                  </w:r>
                  <w:r>
                    <w:rPr>
                      <w:rFonts w:hint="default" w:ascii="Times New Roman" w:hAnsi="Times New Roman" w:cs="Times New Roman" w:eastAsiaTheme="minorEastAsia"/>
                      <w:b w:val="0"/>
                      <w:bCs/>
                      <w:color w:val="auto"/>
                      <w:kern w:val="2"/>
                      <w:sz w:val="21"/>
                      <w:szCs w:val="21"/>
                    </w:rPr>
                    <w:t>自建的一体化污水处理设施处理达标后晴天回用于</w:t>
                  </w:r>
                  <w:r>
                    <w:rPr>
                      <w:rFonts w:hint="default" w:ascii="Times New Roman" w:hAnsi="Times New Roman" w:cs="Times New Roman" w:eastAsiaTheme="minorEastAsia"/>
                      <w:b w:val="0"/>
                      <w:bCs/>
                      <w:color w:val="auto"/>
                      <w:kern w:val="2"/>
                      <w:sz w:val="21"/>
                      <w:szCs w:val="21"/>
                      <w:lang w:eastAsia="zh-CN"/>
                    </w:rPr>
                    <w:t>云南鑫成鹏高分子科技有限公司</w:t>
                  </w:r>
                  <w:r>
                    <w:rPr>
                      <w:rFonts w:hint="default" w:ascii="Times New Roman" w:hAnsi="Times New Roman" w:cs="Times New Roman" w:eastAsiaTheme="minorEastAsia"/>
                      <w:b w:val="0"/>
                      <w:bCs/>
                      <w:color w:val="auto"/>
                      <w:kern w:val="2"/>
                      <w:sz w:val="21"/>
                      <w:szCs w:val="21"/>
                    </w:rPr>
                    <w:t>的绿化及道路洒水降尘，不外排，雨天暂存于回用水池。</w:t>
                  </w:r>
                </w:p>
              </w:tc>
              <w:tc>
                <w:tcPr>
                  <w:tcW w:w="515" w:type="pct"/>
                  <w:vAlign w:val="center"/>
                </w:tcPr>
                <w:p>
                  <w:pPr>
                    <w:pStyle w:val="65"/>
                    <w:keepLines w:val="0"/>
                    <w:pageBreakBefore w:val="0"/>
                    <w:kinsoku/>
                    <w:wordWrap/>
                    <w:overflowPunct/>
                    <w:topLinePunct w:val="0"/>
                    <w:bidi w:val="0"/>
                    <w:snapToGrid w:val="0"/>
                    <w:spacing w:before="0" w:after="0"/>
                    <w:ind w:firstLine="0" w:firstLineChars="0"/>
                    <w:jc w:val="left"/>
                    <w:rPr>
                      <w:rFonts w:hint="default" w:ascii="Times New Roman" w:hAnsi="Times New Roman" w:cs="Times New Roman" w:eastAsiaTheme="minorEastAsia"/>
                      <w:b w:val="0"/>
                      <w:bCs/>
                      <w:color w:val="auto"/>
                      <w:kern w:val="2"/>
                      <w:sz w:val="21"/>
                      <w:szCs w:val="21"/>
                    </w:rPr>
                  </w:pPr>
                  <w:r>
                    <w:rPr>
                      <w:rFonts w:hint="default" w:ascii="Times New Roman" w:hAnsi="Times New Roman" w:cs="Times New Roman" w:eastAsiaTheme="minorEastAsia"/>
                      <w:b w:val="0"/>
                      <w:bCs/>
                      <w:color w:val="auto"/>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pct"/>
                  <w:vAlign w:val="center"/>
                </w:tcPr>
                <w:p>
                  <w:pPr>
                    <w:pStyle w:val="65"/>
                    <w:keepLines w:val="0"/>
                    <w:pageBreakBefore w:val="0"/>
                    <w:kinsoku/>
                    <w:wordWrap/>
                    <w:overflowPunct/>
                    <w:topLinePunct w:val="0"/>
                    <w:bidi w:val="0"/>
                    <w:snapToGrid w:val="0"/>
                    <w:spacing w:before="0" w:after="0"/>
                    <w:ind w:firstLine="0" w:firstLineChars="0"/>
                    <w:jc w:val="left"/>
                    <w:rPr>
                      <w:rFonts w:hint="default" w:ascii="Times New Roman" w:hAnsi="Times New Roman" w:cs="Times New Roman" w:eastAsiaTheme="minorEastAsia"/>
                      <w:b w:val="0"/>
                      <w:bCs/>
                      <w:color w:val="auto"/>
                      <w:kern w:val="2"/>
                      <w:sz w:val="21"/>
                      <w:szCs w:val="21"/>
                    </w:rPr>
                  </w:pPr>
                  <w:r>
                    <w:rPr>
                      <w:rFonts w:hint="default" w:ascii="Times New Roman" w:hAnsi="Times New Roman" w:cs="Times New Roman" w:eastAsiaTheme="minorEastAsia"/>
                      <w:b w:val="0"/>
                      <w:bCs/>
                      <w:color w:val="auto"/>
                      <w:kern w:val="2"/>
                      <w:sz w:val="21"/>
                      <w:szCs w:val="21"/>
                    </w:rPr>
                    <w:t>严守环境质量底线，严格片区环境管控。根据“三线一单”、国家和云南省有关大气污染防治的相关要求，严格执行园区大气污染物总量管控要求，合理确定产业规模、布局、建设时序。入园企业采用先进的生产工艺路线、装备、清洁能源与原料，从源头上控制污染物的产生。在技术经济可行的条件下，应采用先进高效的污染防治措施，重点做好外排废气中颗粒物、二氧化硫、氮氧化物、挥发性有机物等污染物的减排工作，结合区域大气污染防治要求，加快能源结构升级改造和使用清洁能源，促进区域大气环境质量改善。</w:t>
                  </w:r>
                </w:p>
              </w:tc>
              <w:tc>
                <w:tcPr>
                  <w:tcW w:w="1966" w:type="pct"/>
                  <w:vAlign w:val="center"/>
                </w:tcPr>
                <w:p>
                  <w:pPr>
                    <w:pStyle w:val="65"/>
                    <w:keepLines w:val="0"/>
                    <w:pageBreakBefore w:val="0"/>
                    <w:kinsoku/>
                    <w:wordWrap/>
                    <w:overflowPunct/>
                    <w:topLinePunct w:val="0"/>
                    <w:bidi w:val="0"/>
                    <w:snapToGrid w:val="0"/>
                    <w:spacing w:before="0" w:after="0"/>
                    <w:ind w:firstLine="0" w:firstLineChars="0"/>
                    <w:jc w:val="left"/>
                    <w:rPr>
                      <w:rFonts w:hint="default" w:ascii="Times New Roman" w:hAnsi="Times New Roman" w:cs="Times New Roman" w:eastAsiaTheme="minorEastAsia"/>
                      <w:b w:val="0"/>
                      <w:bCs/>
                      <w:color w:val="auto"/>
                      <w:kern w:val="2"/>
                      <w:sz w:val="21"/>
                      <w:szCs w:val="21"/>
                    </w:rPr>
                  </w:pPr>
                  <w:r>
                    <w:rPr>
                      <w:rFonts w:hint="default" w:ascii="Times New Roman" w:hAnsi="Times New Roman" w:cs="Times New Roman"/>
                      <w:b w:val="0"/>
                      <w:bCs w:val="0"/>
                      <w:color w:val="auto"/>
                      <w:kern w:val="0"/>
                      <w:sz w:val="21"/>
                      <w:szCs w:val="21"/>
                      <w:vertAlign w:val="baseline"/>
                      <w:lang w:val="en-US" w:eastAsia="zh-CN"/>
                    </w:rPr>
                    <w:t>本项目采用先进的生产工艺路线、装备，能源仅为电能，胶水为</w:t>
                  </w:r>
                  <w:r>
                    <w:rPr>
                      <w:rFonts w:hint="default" w:ascii="Times New Roman" w:hAnsi="Times New Roman" w:eastAsia="宋体" w:cs="Times New Roman"/>
                      <w:b w:val="0"/>
                      <w:bCs w:val="0"/>
                      <w:color w:val="auto"/>
                      <w:kern w:val="0"/>
                      <w:sz w:val="21"/>
                      <w:szCs w:val="21"/>
                      <w:vertAlign w:val="baseline"/>
                      <w:lang w:val="en-US" w:eastAsia="zh-CN"/>
                    </w:rPr>
                    <w:t>JS8000建筑用双组份硅酮结构密封胶、丁基胶</w:t>
                  </w:r>
                  <w:r>
                    <w:rPr>
                      <w:rFonts w:hint="default" w:ascii="Times New Roman" w:hAnsi="Times New Roman" w:cs="Times New Roman"/>
                      <w:b w:val="0"/>
                      <w:bCs w:val="0"/>
                      <w:color w:val="auto"/>
                      <w:kern w:val="0"/>
                      <w:sz w:val="21"/>
                      <w:szCs w:val="21"/>
                      <w:vertAlign w:val="baseline"/>
                      <w:lang w:val="en-US" w:eastAsia="zh-CN"/>
                    </w:rPr>
                    <w:t>。主要废气污染物为VOCs，采用二级活性炭吸附等措施进行处理，不会对区域大气环境质量造成大的影响。</w:t>
                  </w:r>
                </w:p>
              </w:tc>
              <w:tc>
                <w:tcPr>
                  <w:tcW w:w="515" w:type="pct"/>
                  <w:vAlign w:val="center"/>
                </w:tcPr>
                <w:p>
                  <w:pPr>
                    <w:pStyle w:val="65"/>
                    <w:keepLines w:val="0"/>
                    <w:pageBreakBefore w:val="0"/>
                    <w:kinsoku/>
                    <w:wordWrap/>
                    <w:overflowPunct/>
                    <w:topLinePunct w:val="0"/>
                    <w:bidi w:val="0"/>
                    <w:snapToGrid w:val="0"/>
                    <w:spacing w:before="0" w:after="0"/>
                    <w:ind w:firstLine="0" w:firstLineChars="0"/>
                    <w:jc w:val="left"/>
                    <w:rPr>
                      <w:rFonts w:hint="default" w:ascii="Times New Roman" w:hAnsi="Times New Roman" w:cs="Times New Roman" w:eastAsiaTheme="minorEastAsia"/>
                      <w:b w:val="0"/>
                      <w:bCs/>
                      <w:color w:val="auto"/>
                      <w:kern w:val="2"/>
                      <w:sz w:val="21"/>
                      <w:szCs w:val="21"/>
                    </w:rPr>
                  </w:pPr>
                  <w:r>
                    <w:rPr>
                      <w:rFonts w:hint="default" w:ascii="Times New Roman" w:hAnsi="Times New Roman" w:cs="Times New Roman" w:eastAsiaTheme="minorEastAsia"/>
                      <w:b w:val="0"/>
                      <w:bCs/>
                      <w:color w:val="auto"/>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pct"/>
                  <w:vAlign w:val="center"/>
                </w:tcPr>
                <w:p>
                  <w:pPr>
                    <w:pStyle w:val="65"/>
                    <w:keepLines w:val="0"/>
                    <w:pageBreakBefore w:val="0"/>
                    <w:kinsoku/>
                    <w:wordWrap/>
                    <w:overflowPunct/>
                    <w:topLinePunct w:val="0"/>
                    <w:bidi w:val="0"/>
                    <w:snapToGrid w:val="0"/>
                    <w:spacing w:before="0" w:after="0"/>
                    <w:ind w:firstLine="0" w:firstLineChars="0"/>
                    <w:jc w:val="left"/>
                    <w:rPr>
                      <w:rFonts w:hint="default" w:ascii="Times New Roman" w:hAnsi="Times New Roman" w:cs="Times New Roman" w:eastAsiaTheme="minorEastAsia"/>
                      <w:b w:val="0"/>
                      <w:bCs/>
                      <w:color w:val="auto"/>
                      <w:kern w:val="2"/>
                      <w:sz w:val="21"/>
                      <w:szCs w:val="21"/>
                    </w:rPr>
                  </w:pPr>
                  <w:r>
                    <w:rPr>
                      <w:rFonts w:hint="default" w:ascii="Times New Roman" w:hAnsi="Times New Roman" w:cs="Times New Roman" w:eastAsiaTheme="minorEastAsia"/>
                      <w:b w:val="0"/>
                      <w:bCs/>
                      <w:color w:val="auto"/>
                      <w:kern w:val="2"/>
                      <w:sz w:val="21"/>
                      <w:szCs w:val="21"/>
                    </w:rPr>
                    <w:t>高度重视园区废水收集、处理、回用、排放的环境管理，实施“雨污分流”，加快各片区污水管网、回用管网的建设，结合区域的建设时序适时建设污水处理厂、再生水处理设施及现有污水处理厂扩容改造。区域河流纳污容量有限，应严格控制废水外排量，确保受纳水体水质满足环境功能要求。</w:t>
                  </w:r>
                </w:p>
              </w:tc>
              <w:tc>
                <w:tcPr>
                  <w:tcW w:w="1966" w:type="pct"/>
                  <w:vAlign w:val="center"/>
                </w:tcPr>
                <w:p>
                  <w:pPr>
                    <w:pStyle w:val="65"/>
                    <w:keepLines w:val="0"/>
                    <w:pageBreakBefore w:val="0"/>
                    <w:kinsoku/>
                    <w:wordWrap/>
                    <w:overflowPunct/>
                    <w:topLinePunct w:val="0"/>
                    <w:bidi w:val="0"/>
                    <w:snapToGrid w:val="0"/>
                    <w:spacing w:before="0" w:after="0"/>
                    <w:ind w:firstLine="0" w:firstLineChars="0"/>
                    <w:jc w:val="left"/>
                    <w:rPr>
                      <w:rFonts w:hint="default" w:ascii="Times New Roman" w:hAnsi="Times New Roman" w:cs="Times New Roman" w:eastAsiaTheme="minorEastAsia"/>
                      <w:b w:val="0"/>
                      <w:bCs/>
                      <w:color w:val="auto"/>
                      <w:kern w:val="2"/>
                      <w:sz w:val="21"/>
                      <w:szCs w:val="21"/>
                      <w:lang w:eastAsia="zh-CN"/>
                    </w:rPr>
                  </w:pPr>
                  <w:r>
                    <w:rPr>
                      <w:rFonts w:hint="default" w:ascii="Times New Roman" w:hAnsi="Times New Roman" w:cs="Times New Roman" w:eastAsiaTheme="minorEastAsia"/>
                      <w:b w:val="0"/>
                      <w:bCs/>
                      <w:color w:val="auto"/>
                      <w:kern w:val="2"/>
                      <w:sz w:val="21"/>
                      <w:szCs w:val="21"/>
                    </w:rPr>
                    <w:t>项目实行雨污分流，生产过程中冷却水全部循环使用，生活污水经</w:t>
                  </w:r>
                  <w:r>
                    <w:rPr>
                      <w:rFonts w:hint="eastAsia" w:ascii="Times New Roman" w:hAnsi="Times New Roman" w:cs="Times New Roman" w:eastAsiaTheme="minorEastAsia"/>
                      <w:b w:val="0"/>
                      <w:bCs/>
                      <w:color w:val="auto"/>
                      <w:kern w:val="2"/>
                      <w:sz w:val="21"/>
                      <w:szCs w:val="21"/>
                      <w:lang w:eastAsia="zh-CN"/>
                    </w:rPr>
                    <w:t>油水分离器</w:t>
                  </w:r>
                  <w:r>
                    <w:rPr>
                      <w:rFonts w:hint="default" w:ascii="Times New Roman" w:hAnsi="Times New Roman" w:cs="Times New Roman" w:eastAsiaTheme="minorEastAsia"/>
                      <w:b w:val="0"/>
                      <w:bCs/>
                      <w:color w:val="auto"/>
                      <w:kern w:val="2"/>
                      <w:sz w:val="21"/>
                      <w:szCs w:val="21"/>
                    </w:rPr>
                    <w:t>、化粪池处理后进入项目区自建一体化污水处理站处理，处理后暂存于污水暂存池，最终回用于项目区绿化</w:t>
                  </w:r>
                  <w:r>
                    <w:rPr>
                      <w:rFonts w:hint="default" w:ascii="Times New Roman" w:hAnsi="Times New Roman" w:cs="Times New Roman" w:eastAsiaTheme="minorEastAsia"/>
                      <w:b w:val="0"/>
                      <w:bCs/>
                      <w:color w:val="auto"/>
                      <w:kern w:val="2"/>
                      <w:sz w:val="21"/>
                      <w:szCs w:val="21"/>
                      <w:lang w:eastAsia="zh-CN"/>
                    </w:rPr>
                    <w:t>。</w:t>
                  </w:r>
                </w:p>
              </w:tc>
              <w:tc>
                <w:tcPr>
                  <w:tcW w:w="515" w:type="pct"/>
                  <w:vAlign w:val="center"/>
                </w:tcPr>
                <w:p>
                  <w:pPr>
                    <w:pStyle w:val="65"/>
                    <w:keepLines w:val="0"/>
                    <w:pageBreakBefore w:val="0"/>
                    <w:kinsoku/>
                    <w:wordWrap/>
                    <w:overflowPunct/>
                    <w:topLinePunct w:val="0"/>
                    <w:bidi w:val="0"/>
                    <w:snapToGrid w:val="0"/>
                    <w:spacing w:before="0" w:after="0"/>
                    <w:ind w:firstLine="0" w:firstLineChars="0"/>
                    <w:jc w:val="left"/>
                    <w:rPr>
                      <w:rFonts w:hint="default" w:ascii="Times New Roman" w:hAnsi="Times New Roman" w:cs="Times New Roman" w:eastAsiaTheme="minorEastAsia"/>
                      <w:b w:val="0"/>
                      <w:bCs/>
                      <w:color w:val="auto"/>
                      <w:kern w:val="2"/>
                      <w:sz w:val="21"/>
                      <w:szCs w:val="21"/>
                    </w:rPr>
                  </w:pPr>
                  <w:r>
                    <w:rPr>
                      <w:rFonts w:hint="default" w:ascii="Times New Roman" w:hAnsi="Times New Roman" w:cs="Times New Roman" w:eastAsiaTheme="minorEastAsia"/>
                      <w:b w:val="0"/>
                      <w:bCs/>
                      <w:color w:val="auto"/>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pct"/>
                  <w:vAlign w:val="center"/>
                </w:tcPr>
                <w:p>
                  <w:pPr>
                    <w:pStyle w:val="65"/>
                    <w:keepLines w:val="0"/>
                    <w:pageBreakBefore w:val="0"/>
                    <w:kinsoku/>
                    <w:wordWrap/>
                    <w:overflowPunct/>
                    <w:topLinePunct w:val="0"/>
                    <w:bidi w:val="0"/>
                    <w:snapToGrid w:val="0"/>
                    <w:spacing w:before="0" w:after="0"/>
                    <w:ind w:firstLine="0" w:firstLineChars="0"/>
                    <w:jc w:val="left"/>
                    <w:rPr>
                      <w:rFonts w:hint="default" w:ascii="Times New Roman" w:hAnsi="Times New Roman" w:cs="Times New Roman" w:eastAsiaTheme="minorEastAsia"/>
                      <w:b w:val="0"/>
                      <w:bCs/>
                      <w:color w:val="auto"/>
                      <w:kern w:val="2"/>
                      <w:sz w:val="21"/>
                      <w:szCs w:val="21"/>
                    </w:rPr>
                  </w:pPr>
                  <w:r>
                    <w:rPr>
                      <w:rFonts w:hint="default" w:ascii="Times New Roman" w:hAnsi="Times New Roman" w:cs="Times New Roman" w:eastAsiaTheme="minorEastAsia"/>
                      <w:b w:val="0"/>
                      <w:bCs/>
                      <w:color w:val="auto"/>
                      <w:kern w:val="2"/>
                      <w:sz w:val="21"/>
                      <w:szCs w:val="21"/>
                    </w:rPr>
                    <w:t>入园企业产生的危险废物按照规定严格管控，积极推进工业固体废物综合利用。</w:t>
                  </w:r>
                </w:p>
              </w:tc>
              <w:tc>
                <w:tcPr>
                  <w:tcW w:w="1966" w:type="pct"/>
                  <w:vAlign w:val="center"/>
                </w:tcPr>
                <w:p>
                  <w:pPr>
                    <w:pStyle w:val="65"/>
                    <w:keepLines w:val="0"/>
                    <w:pageBreakBefore w:val="0"/>
                    <w:kinsoku/>
                    <w:wordWrap/>
                    <w:overflowPunct/>
                    <w:topLinePunct w:val="0"/>
                    <w:bidi w:val="0"/>
                    <w:snapToGrid w:val="0"/>
                    <w:spacing w:before="0" w:after="0"/>
                    <w:ind w:firstLine="0" w:firstLineChars="0"/>
                    <w:jc w:val="left"/>
                    <w:rPr>
                      <w:rFonts w:hint="default" w:ascii="Times New Roman" w:hAnsi="Times New Roman" w:cs="Times New Roman" w:eastAsiaTheme="minorEastAsia"/>
                      <w:b w:val="0"/>
                      <w:bCs/>
                      <w:color w:val="auto"/>
                      <w:kern w:val="2"/>
                      <w:sz w:val="21"/>
                      <w:szCs w:val="21"/>
                    </w:rPr>
                  </w:pPr>
                  <w:r>
                    <w:rPr>
                      <w:rFonts w:hint="default" w:ascii="Times New Roman" w:hAnsi="Times New Roman" w:cs="Times New Roman" w:eastAsiaTheme="minorEastAsia"/>
                      <w:b w:val="0"/>
                      <w:bCs/>
                      <w:color w:val="auto"/>
                      <w:kern w:val="2"/>
                      <w:sz w:val="21"/>
                      <w:szCs w:val="21"/>
                    </w:rPr>
                    <w:t>项目危险废物经收集后暂存于危险废物暂存间，</w:t>
                  </w:r>
                  <w:r>
                    <w:rPr>
                      <w:rFonts w:hint="default" w:ascii="Times New Roman" w:hAnsi="Times New Roman" w:cs="Times New Roman" w:eastAsiaTheme="minorEastAsia"/>
                      <w:b w:val="0"/>
                      <w:bCs/>
                      <w:color w:val="auto"/>
                      <w:kern w:val="2"/>
                      <w:sz w:val="21"/>
                      <w:szCs w:val="21"/>
                      <w:lang w:val="en-US" w:eastAsia="zh-CN"/>
                    </w:rPr>
                    <w:t>委托</w:t>
                  </w:r>
                  <w:r>
                    <w:rPr>
                      <w:rFonts w:hint="default" w:ascii="Times New Roman" w:hAnsi="Times New Roman" w:cs="Times New Roman" w:eastAsiaTheme="minorEastAsia"/>
                      <w:b w:val="0"/>
                      <w:bCs/>
                      <w:color w:val="auto"/>
                      <w:kern w:val="2"/>
                      <w:sz w:val="21"/>
                      <w:szCs w:val="21"/>
                    </w:rPr>
                    <w:t>有资质的单位处置。</w:t>
                  </w:r>
                </w:p>
              </w:tc>
              <w:tc>
                <w:tcPr>
                  <w:tcW w:w="515" w:type="pct"/>
                  <w:vAlign w:val="center"/>
                </w:tcPr>
                <w:p>
                  <w:pPr>
                    <w:pStyle w:val="65"/>
                    <w:keepLines w:val="0"/>
                    <w:pageBreakBefore w:val="0"/>
                    <w:kinsoku/>
                    <w:wordWrap/>
                    <w:overflowPunct/>
                    <w:topLinePunct w:val="0"/>
                    <w:bidi w:val="0"/>
                    <w:snapToGrid w:val="0"/>
                    <w:spacing w:before="0" w:after="0"/>
                    <w:ind w:firstLine="0" w:firstLineChars="0"/>
                    <w:jc w:val="left"/>
                    <w:rPr>
                      <w:rFonts w:hint="default" w:ascii="Times New Roman" w:hAnsi="Times New Roman" w:cs="Times New Roman" w:eastAsiaTheme="minorEastAsia"/>
                      <w:b w:val="0"/>
                      <w:bCs/>
                      <w:color w:val="auto"/>
                      <w:kern w:val="2"/>
                      <w:sz w:val="21"/>
                      <w:szCs w:val="21"/>
                    </w:rPr>
                  </w:pPr>
                  <w:r>
                    <w:rPr>
                      <w:rFonts w:hint="default" w:ascii="Times New Roman" w:hAnsi="Times New Roman" w:cs="Times New Roman" w:eastAsiaTheme="minorEastAsia"/>
                      <w:b w:val="0"/>
                      <w:bCs/>
                      <w:color w:val="auto"/>
                      <w:kern w:val="2"/>
                      <w:sz w:val="21"/>
                      <w:szCs w:val="21"/>
                    </w:rPr>
                    <w:t>符合</w:t>
                  </w:r>
                </w:p>
              </w:tc>
            </w:tr>
          </w:tbl>
          <w:p>
            <w:pPr>
              <w:pStyle w:val="65"/>
              <w:keepLines w:val="0"/>
              <w:pageBreakBefore w:val="0"/>
              <w:kinsoku/>
              <w:wordWrap/>
              <w:overflowPunct/>
              <w:topLinePunct w:val="0"/>
              <w:bidi w:val="0"/>
              <w:snapToGrid w:val="0"/>
              <w:spacing w:before="0" w:after="0" w:line="360" w:lineRule="auto"/>
              <w:ind w:firstLine="0" w:firstLineChars="0"/>
              <w:jc w:val="both"/>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b w:val="0"/>
                <w:bCs/>
                <w:color w:val="auto"/>
                <w:kern w:val="2"/>
                <w:szCs w:val="21"/>
              </w:rPr>
              <w:t>综上所述，项目建设与《云南澄江产业园区总体规划【修编】（2021-2035）环境影响报告书审查意见》相符。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3" w:type="pct"/>
            <w:vAlign w:val="center"/>
          </w:tcPr>
          <w:p>
            <w:pPr>
              <w:pageBreakBefore w:val="0"/>
              <w:kinsoku/>
              <w:wordWrap/>
              <w:overflowPunct/>
              <w:topLinePunct w:val="0"/>
              <w:autoSpaceDE w:val="0"/>
              <w:autoSpaceDN w:val="0"/>
              <w:bidi w:val="0"/>
              <w:adjustRightInd w:val="0"/>
              <w:snapToGrid w:val="0"/>
              <w:ind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其他符合性分析</w:t>
            </w:r>
          </w:p>
        </w:tc>
        <w:tc>
          <w:tcPr>
            <w:tcW w:w="4316" w:type="pct"/>
            <w:gridSpan w:val="4"/>
            <w:vAlign w:val="center"/>
          </w:tcPr>
          <w:p>
            <w:pPr>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cs="Times New Roman" w:eastAsiaTheme="minorEastAsia"/>
                <w:b/>
                <w:color w:val="auto"/>
                <w:kern w:val="0"/>
                <w:szCs w:val="21"/>
              </w:rPr>
            </w:pPr>
            <w:r>
              <w:rPr>
                <w:rFonts w:hint="default" w:ascii="Times New Roman" w:hAnsi="Times New Roman" w:cs="Times New Roman" w:eastAsiaTheme="minorEastAsia"/>
                <w:b/>
                <w:color w:val="auto"/>
                <w:szCs w:val="21"/>
              </w:rPr>
              <w:t>1、产业政策符合性</w:t>
            </w:r>
          </w:p>
          <w:p>
            <w:pPr>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本项目属于</w:t>
            </w:r>
            <w:r>
              <w:rPr>
                <w:rFonts w:hint="default" w:ascii="Times New Roman" w:hAnsi="Times New Roman" w:cs="Times New Roman"/>
                <w:color w:val="auto"/>
                <w:szCs w:val="21"/>
                <w:lang w:eastAsia="zh-CN"/>
              </w:rPr>
              <w:t>云南鑫多新型材料有限公司年产55万㎡中空玻璃改扩建项目</w:t>
            </w:r>
            <w:r>
              <w:rPr>
                <w:rFonts w:hint="default" w:ascii="Times New Roman" w:hAnsi="Times New Roman" w:cs="Times New Roman" w:eastAsiaTheme="minorEastAsia"/>
                <w:color w:val="auto"/>
                <w:kern w:val="0"/>
                <w:szCs w:val="21"/>
              </w:rPr>
              <w:t>，根据《产业结构调整指导目录（</w:t>
            </w:r>
            <w:r>
              <w:rPr>
                <w:rFonts w:hint="default" w:ascii="Times New Roman" w:hAnsi="Times New Roman" w:cs="Times New Roman" w:eastAsiaTheme="minorEastAsia"/>
                <w:color w:val="auto"/>
                <w:kern w:val="0"/>
                <w:szCs w:val="21"/>
                <w:lang w:eastAsia="zh-CN"/>
              </w:rPr>
              <w:t>2024年本</w:t>
            </w:r>
            <w:r>
              <w:rPr>
                <w:rFonts w:hint="default" w:ascii="Times New Roman" w:hAnsi="Times New Roman" w:cs="Times New Roman" w:eastAsiaTheme="minorEastAsia"/>
                <w:color w:val="auto"/>
                <w:kern w:val="0"/>
                <w:szCs w:val="21"/>
              </w:rPr>
              <w:t>）》项目不属于鼓励类、限制类和淘汰类项目，属于允许类项目，</w:t>
            </w:r>
            <w:r>
              <w:rPr>
                <w:rFonts w:hint="default" w:ascii="Times New Roman" w:hAnsi="Times New Roman" w:cs="Times New Roman" w:eastAsiaTheme="minorEastAsia"/>
                <w:color w:val="auto"/>
                <w:kern w:val="0"/>
                <w:szCs w:val="21"/>
                <w:lang w:val="en-US" w:eastAsia="zh-CN"/>
              </w:rPr>
              <w:t>本想不属于非机械生产的中空玻璃；对照《</w:t>
            </w:r>
            <w:r>
              <w:rPr>
                <w:rFonts w:hint="default" w:ascii="Times New Roman" w:hAnsi="Times New Roman" w:eastAsia="宋体" w:cs="Times New Roman"/>
                <w:i w:val="0"/>
                <w:iCs w:val="0"/>
                <w:caps w:val="0"/>
                <w:spacing w:val="0"/>
                <w:sz w:val="19"/>
                <w:szCs w:val="19"/>
              </w:rPr>
              <w:fldChar w:fldCharType="begin"/>
            </w:r>
            <w:r>
              <w:rPr>
                <w:rFonts w:hint="default" w:ascii="Times New Roman" w:hAnsi="Times New Roman" w:eastAsia="宋体" w:cs="Times New Roman"/>
                <w:i w:val="0"/>
                <w:iCs w:val="0"/>
                <w:caps w:val="0"/>
                <w:spacing w:val="0"/>
                <w:sz w:val="19"/>
                <w:szCs w:val="19"/>
              </w:rPr>
              <w:instrText xml:space="preserve"> HYPERLINK "https://wenku.so.com/d/b564f9e908fa5fdd22296a155c99754e" \o "环境保护综合名录(2021年版)" \t "https://wenku.so.com/_blank" </w:instrText>
            </w:r>
            <w:r>
              <w:rPr>
                <w:rFonts w:hint="default" w:ascii="Times New Roman" w:hAnsi="Times New Roman" w:eastAsia="宋体" w:cs="Times New Roman"/>
                <w:i w:val="0"/>
                <w:iCs w:val="0"/>
                <w:caps w:val="0"/>
                <w:spacing w:val="0"/>
                <w:sz w:val="19"/>
                <w:szCs w:val="19"/>
              </w:rPr>
              <w:fldChar w:fldCharType="separate"/>
            </w:r>
            <w:r>
              <w:rPr>
                <w:rStyle w:val="33"/>
                <w:rFonts w:hint="default" w:ascii="Times New Roman" w:hAnsi="Times New Roman" w:eastAsia="宋体" w:cs="Times New Roman"/>
                <w:i w:val="0"/>
                <w:iCs w:val="0"/>
                <w:caps w:val="0"/>
                <w:color w:val="D73130"/>
                <w:spacing w:val="0"/>
                <w:sz w:val="24"/>
                <w:szCs w:val="24"/>
                <w:u w:val="single"/>
              </w:rPr>
              <w:t>环境保护综合名录</w:t>
            </w:r>
            <w:r>
              <w:rPr>
                <w:rStyle w:val="33"/>
                <w:rFonts w:hint="default" w:ascii="Times New Roman" w:hAnsi="Times New Roman" w:eastAsia="宋体" w:cs="Times New Roman"/>
                <w:i w:val="0"/>
                <w:iCs w:val="0"/>
                <w:caps w:val="0"/>
                <w:color w:val="2438CF"/>
                <w:spacing w:val="0"/>
                <w:sz w:val="24"/>
                <w:szCs w:val="24"/>
                <w:u w:val="single"/>
              </w:rPr>
              <w:t>(</w:t>
            </w:r>
            <w:r>
              <w:rPr>
                <w:rStyle w:val="33"/>
                <w:rFonts w:hint="default" w:ascii="Times New Roman" w:hAnsi="Times New Roman" w:eastAsia="宋体" w:cs="Times New Roman"/>
                <w:i w:val="0"/>
                <w:iCs w:val="0"/>
                <w:caps w:val="0"/>
                <w:color w:val="D73130"/>
                <w:spacing w:val="0"/>
                <w:sz w:val="24"/>
                <w:szCs w:val="24"/>
                <w:u w:val="single"/>
              </w:rPr>
              <w:t>2021</w:t>
            </w:r>
            <w:r>
              <w:rPr>
                <w:rStyle w:val="33"/>
                <w:rFonts w:hint="default" w:ascii="Times New Roman" w:hAnsi="Times New Roman" w:eastAsia="宋体" w:cs="Times New Roman"/>
                <w:i w:val="0"/>
                <w:iCs w:val="0"/>
                <w:caps w:val="0"/>
                <w:color w:val="2438CF"/>
                <w:spacing w:val="0"/>
                <w:sz w:val="24"/>
                <w:szCs w:val="24"/>
                <w:u w:val="single"/>
              </w:rPr>
              <w:t>年版)</w:t>
            </w:r>
            <w:r>
              <w:rPr>
                <w:rFonts w:hint="default" w:ascii="Times New Roman" w:hAnsi="Times New Roman" w:eastAsia="宋体" w:cs="Times New Roman"/>
                <w:i w:val="0"/>
                <w:iCs w:val="0"/>
                <w:caps w:val="0"/>
                <w:spacing w:val="0"/>
                <w:sz w:val="19"/>
                <w:szCs w:val="19"/>
              </w:rPr>
              <w:fldChar w:fldCharType="end"/>
            </w:r>
            <w:r>
              <w:rPr>
                <w:rFonts w:hint="default" w:ascii="Times New Roman" w:hAnsi="Times New Roman" w:cs="Times New Roman" w:eastAsiaTheme="minorEastAsia"/>
                <w:color w:val="auto"/>
                <w:kern w:val="0"/>
                <w:szCs w:val="21"/>
                <w:lang w:val="en-US" w:eastAsia="zh-CN"/>
              </w:rPr>
              <w:t>》本项目不属于两高项目，</w:t>
            </w:r>
            <w:r>
              <w:rPr>
                <w:rFonts w:hint="default" w:ascii="Times New Roman" w:hAnsi="Times New Roman" w:cs="Times New Roman" w:eastAsiaTheme="minorEastAsia"/>
                <w:color w:val="auto"/>
                <w:kern w:val="0"/>
                <w:szCs w:val="21"/>
              </w:rPr>
              <w:t>同时，目前项目已于</w:t>
            </w:r>
            <w:r>
              <w:rPr>
                <w:rFonts w:hint="default" w:ascii="Times New Roman" w:hAnsi="Times New Roman" w:cs="Times New Roman" w:eastAsiaTheme="minorEastAsia"/>
                <w:color w:val="auto"/>
                <w:kern w:val="0"/>
                <w:szCs w:val="21"/>
                <w:lang w:eastAsia="zh-CN"/>
              </w:rPr>
              <w:t>2024年1月17日</w:t>
            </w:r>
            <w:r>
              <w:rPr>
                <w:rFonts w:hint="default" w:ascii="Times New Roman" w:hAnsi="Times New Roman" w:cs="Times New Roman" w:eastAsiaTheme="minorEastAsia"/>
                <w:color w:val="auto"/>
                <w:kern w:val="0"/>
                <w:szCs w:val="21"/>
              </w:rPr>
              <w:t>取得</w:t>
            </w:r>
            <w:r>
              <w:rPr>
                <w:rFonts w:hint="default" w:ascii="Times New Roman" w:hAnsi="Times New Roman" w:cs="Times New Roman" w:eastAsiaTheme="minorEastAsia"/>
                <w:color w:val="auto"/>
                <w:kern w:val="0"/>
                <w:szCs w:val="21"/>
                <w:lang w:eastAsia="zh-CN"/>
              </w:rPr>
              <w:t>云南澄江产业园区</w:t>
            </w:r>
            <w:r>
              <w:rPr>
                <w:rFonts w:hint="default" w:ascii="Times New Roman" w:hAnsi="Times New Roman" w:cs="Times New Roman" w:eastAsiaTheme="minorEastAsia"/>
                <w:color w:val="auto"/>
                <w:kern w:val="0"/>
                <w:szCs w:val="21"/>
              </w:rPr>
              <w:t>管理委员会出具的项目入园证明。20</w:t>
            </w:r>
            <w:r>
              <w:rPr>
                <w:rFonts w:hint="default" w:ascii="Times New Roman" w:hAnsi="Times New Roman" w:cs="Times New Roman" w:eastAsiaTheme="minorEastAsia"/>
                <w:color w:val="auto"/>
                <w:kern w:val="0"/>
                <w:szCs w:val="21"/>
                <w:lang w:val="en-US" w:eastAsia="zh-CN"/>
              </w:rPr>
              <w:t>24</w:t>
            </w:r>
            <w:r>
              <w:rPr>
                <w:rFonts w:hint="default" w:ascii="Times New Roman" w:hAnsi="Times New Roman" w:cs="Times New Roman" w:eastAsiaTheme="minorEastAsia"/>
                <w:color w:val="auto"/>
                <w:kern w:val="0"/>
                <w:szCs w:val="21"/>
              </w:rPr>
              <w:t>年</w:t>
            </w:r>
            <w:r>
              <w:rPr>
                <w:rFonts w:hint="default" w:ascii="Times New Roman" w:hAnsi="Times New Roman" w:cs="Times New Roman" w:eastAsiaTheme="minorEastAsia"/>
                <w:color w:val="auto"/>
                <w:kern w:val="0"/>
                <w:szCs w:val="21"/>
                <w:lang w:val="en-US" w:eastAsia="zh-CN"/>
              </w:rPr>
              <w:t>1</w:t>
            </w:r>
            <w:r>
              <w:rPr>
                <w:rFonts w:hint="default" w:ascii="Times New Roman" w:hAnsi="Times New Roman" w:cs="Times New Roman" w:eastAsiaTheme="minorEastAsia"/>
                <w:color w:val="auto"/>
                <w:kern w:val="0"/>
                <w:szCs w:val="21"/>
              </w:rPr>
              <w:t>月</w:t>
            </w:r>
            <w:r>
              <w:rPr>
                <w:rFonts w:hint="default" w:ascii="Times New Roman" w:hAnsi="Times New Roman" w:cs="Times New Roman" w:eastAsiaTheme="minorEastAsia"/>
                <w:color w:val="auto"/>
                <w:kern w:val="0"/>
                <w:szCs w:val="21"/>
                <w:lang w:val="en-US" w:eastAsia="zh-CN"/>
              </w:rPr>
              <w:t>22</w:t>
            </w:r>
            <w:r>
              <w:rPr>
                <w:rFonts w:hint="default" w:ascii="Times New Roman" w:hAnsi="Times New Roman" w:cs="Times New Roman" w:eastAsiaTheme="minorEastAsia"/>
                <w:color w:val="auto"/>
                <w:kern w:val="0"/>
                <w:szCs w:val="21"/>
              </w:rPr>
              <w:t>日取得澄江市发展和改革局的立项备案，备案号（项目代码）：</w:t>
            </w:r>
            <w:r>
              <w:rPr>
                <w:rFonts w:hint="default" w:ascii="Times New Roman" w:hAnsi="Times New Roman" w:cs="Times New Roman"/>
                <w:color w:val="auto"/>
                <w:szCs w:val="21"/>
                <w:lang w:eastAsia="zh-CN"/>
              </w:rPr>
              <w:t>2402-530422-04-02-211454</w:t>
            </w:r>
            <w:r>
              <w:rPr>
                <w:rFonts w:hint="default" w:ascii="Times New Roman" w:hAnsi="Times New Roman" w:cs="Times New Roman" w:eastAsiaTheme="minorEastAsia"/>
                <w:color w:val="auto"/>
                <w:kern w:val="0"/>
                <w:szCs w:val="21"/>
              </w:rPr>
              <w:t>，因此项目的建设符合国家现行产业政策。</w:t>
            </w:r>
          </w:p>
          <w:p>
            <w:pPr>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综上，项目符合国家及地方相关产业政策。</w:t>
            </w:r>
          </w:p>
          <w:p>
            <w:pPr>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2.项目选址合理性分析</w:t>
            </w:r>
          </w:p>
          <w:p>
            <w:pPr>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eastAsiaTheme="minorEastAsia"/>
                <w:color w:val="auto"/>
                <w:szCs w:val="21"/>
              </w:rPr>
            </w:pPr>
            <w:bookmarkStart w:id="7" w:name="_Hlk54100710"/>
            <w:r>
              <w:rPr>
                <w:rFonts w:hint="default" w:ascii="Times New Roman" w:hAnsi="Times New Roman" w:cs="Times New Roman" w:eastAsiaTheme="minorEastAsia"/>
                <w:color w:val="auto"/>
                <w:szCs w:val="21"/>
              </w:rPr>
              <w:t>本项目位于</w:t>
            </w:r>
            <w:bookmarkEnd w:id="7"/>
            <w:r>
              <w:rPr>
                <w:rFonts w:hint="default" w:ascii="Times New Roman" w:hAnsi="Times New Roman" w:cs="Times New Roman" w:eastAsiaTheme="minorEastAsia"/>
                <w:color w:val="auto"/>
                <w:szCs w:val="21"/>
                <w:lang w:eastAsia="zh-CN"/>
              </w:rPr>
              <w:t>云南澄江产业园区提古片区</w:t>
            </w:r>
            <w:r>
              <w:rPr>
                <w:rFonts w:hint="default" w:ascii="Times New Roman" w:hAnsi="Times New Roman" w:cs="Times New Roman" w:eastAsiaTheme="minorEastAsia"/>
                <w:color w:val="auto"/>
                <w:szCs w:val="21"/>
              </w:rPr>
              <w:t>，建设项目四周交通便利，方便物料运输，满足项目生产需求，选址周边无文物保护、风景名胜等环境敏感目标；项目不在饮用水源保护区内，不存在重大环境制约因素，</w:t>
            </w:r>
            <w:r>
              <w:rPr>
                <w:rFonts w:hint="default" w:ascii="Times New Roman" w:hAnsi="Times New Roman" w:cs="Times New Roman" w:eastAsiaTheme="minorEastAsia"/>
                <w:bCs/>
                <w:color w:val="auto"/>
                <w:szCs w:val="21"/>
              </w:rPr>
              <w:t>用地属于工业园区规划用地，不涉及生态红线范围</w:t>
            </w:r>
            <w:r>
              <w:rPr>
                <w:rFonts w:hint="default" w:ascii="Times New Roman" w:hAnsi="Times New Roman" w:cs="Times New Roman" w:eastAsiaTheme="minorEastAsia"/>
                <w:color w:val="auto"/>
                <w:szCs w:val="21"/>
              </w:rPr>
              <w:t>。在正常生产情况下，本工程经采取有效污染防治措施，对评价区域环境质量影响很小，区域环境质量不会发生明显的变化，符合该地区环境功能区划的要求。综合评述，项目选址合理。</w:t>
            </w:r>
          </w:p>
          <w:p>
            <w:pPr>
              <w:pStyle w:val="26"/>
              <w:pageBreakBefore w:val="0"/>
              <w:widowControl w:val="0"/>
              <w:kinsoku/>
              <w:wordWrap/>
              <w:overflowPunct/>
              <w:topLinePunct w:val="0"/>
              <w:bidi w:val="0"/>
              <w:snapToGrid/>
              <w:spacing w:after="0" w:line="360" w:lineRule="auto"/>
              <w:ind w:firstLine="422" w:firstLineChars="200"/>
              <w:jc w:val="left"/>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3.总平面布局合理性分析</w:t>
            </w:r>
          </w:p>
          <w:p>
            <w:pPr>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项目厂区主要分为生产区和办公生活区，项目生产区和办公生活区采用厂区道路分隔，项目生产设备、危废暂存间均放置在生产车间内并采取隔声、减震垫等措施。项目</w:t>
            </w:r>
            <w:r>
              <w:rPr>
                <w:rFonts w:hint="eastAsia" w:cs="Times New Roman" w:eastAsiaTheme="minorEastAsia"/>
                <w:color w:val="auto"/>
                <w:szCs w:val="21"/>
                <w:lang w:val="en-US" w:eastAsia="zh-CN"/>
              </w:rPr>
              <w:t>油水分离器</w:t>
            </w:r>
            <w:r>
              <w:rPr>
                <w:rFonts w:hint="default" w:ascii="Times New Roman" w:hAnsi="Times New Roman" w:cs="Times New Roman" w:eastAsiaTheme="minorEastAsia"/>
                <w:color w:val="auto"/>
                <w:szCs w:val="21"/>
                <w:lang w:val="en-US" w:eastAsia="zh-CN"/>
              </w:rPr>
              <w:t>、化粪池等处理设施均设置在综合楼西侧。因此项目平面布局合理。</w:t>
            </w:r>
          </w:p>
          <w:p>
            <w:pPr>
              <w:pageBreakBefore w:val="0"/>
              <w:widowControl w:val="0"/>
              <w:kinsoku/>
              <w:wordWrap/>
              <w:overflowPunct/>
              <w:topLinePunct w:val="0"/>
              <w:bidi w:val="0"/>
              <w:snapToGrid w:val="0"/>
              <w:spacing w:line="360" w:lineRule="auto"/>
              <w:ind w:firstLine="480" w:firstLineChars="200"/>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综上，项目布局较为合理。</w:t>
            </w:r>
          </w:p>
          <w:p>
            <w:pPr>
              <w:pStyle w:val="4"/>
              <w:pageBreakBefore w:val="0"/>
              <w:widowControl w:val="0"/>
              <w:kinsoku/>
              <w:wordWrap/>
              <w:overflowPunct/>
              <w:topLinePunct w:val="0"/>
              <w:bidi w:val="0"/>
              <w:adjustRightInd w:val="0"/>
              <w:snapToGrid w:val="0"/>
              <w:spacing w:before="0" w:beforeLines="0" w:after="0" w:afterLines="0" w:line="360" w:lineRule="auto"/>
              <w:ind w:firstLine="482" w:firstLineChars="200"/>
              <w:textAlignment w:val="auto"/>
              <w:rPr>
                <w:rStyle w:val="44"/>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4</w:t>
            </w:r>
            <w:r>
              <w:rPr>
                <w:rStyle w:val="44"/>
                <w:rFonts w:hint="default" w:ascii="Times New Roman" w:hAnsi="Times New Roman" w:cs="Times New Roman" w:eastAsiaTheme="minorEastAsia"/>
                <w:color w:val="auto"/>
                <w:sz w:val="24"/>
                <w:szCs w:val="24"/>
              </w:rPr>
              <w:t>、与玉溪市人民政府关于印发玉溪市“三线一单”生态环境分区管控实施方案的通知（玉政发〔2021〕15号）符合性</w:t>
            </w:r>
          </w:p>
          <w:p>
            <w:pPr>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snapToGrid w:val="0"/>
                <w:color w:val="auto"/>
                <w:kern w:val="0"/>
                <w:szCs w:val="21"/>
              </w:rPr>
              <w:t>2021年12月6日，玉溪市人民政府发布了关于印发玉溪市“三线一单”生态环境分区管控实施方案的通知（玉政发〔2021〕15号），项目与“玉政发〔2021〕15号”符合性见表1-4。</w:t>
            </w:r>
          </w:p>
          <w:p>
            <w:pPr>
              <w:pageBreakBefore w:val="0"/>
              <w:tabs>
                <w:tab w:val="left" w:pos="611"/>
              </w:tabs>
              <w:kinsoku/>
              <w:wordWrap/>
              <w:overflowPunct/>
              <w:topLinePunct w:val="0"/>
              <w:bidi w:val="0"/>
              <w:ind w:firstLine="0" w:firstLineChars="0"/>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表1-4与《玉溪市人民政府关于实施‘三线一单’生态环境分区管控实施方案》符合性</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590"/>
              <w:gridCol w:w="2473"/>
              <w:gridCol w:w="3198"/>
              <w:gridCol w:w="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0" w:type="pct"/>
                  <w:gridSpan w:val="2"/>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类别</w:t>
                  </w:r>
                </w:p>
              </w:tc>
              <w:tc>
                <w:tcPr>
                  <w:tcW w:w="1676"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内容要求</w:t>
                  </w:r>
                </w:p>
              </w:tc>
              <w:tc>
                <w:tcPr>
                  <w:tcW w:w="2167"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项目情况</w:t>
                  </w:r>
                </w:p>
              </w:tc>
              <w:tc>
                <w:tcPr>
                  <w:tcW w:w="376"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gridSpan w:val="2"/>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生态红线</w:t>
                  </w:r>
                </w:p>
              </w:tc>
              <w:tc>
                <w:tcPr>
                  <w:tcW w:w="1676" w:type="pct"/>
                  <w:vAlign w:val="center"/>
                </w:tcPr>
                <w:p>
                  <w:pPr>
                    <w:pageBreakBefore w:val="0"/>
                    <w:kinsoku/>
                    <w:wordWrap/>
                    <w:overflowPunct/>
                    <w:topLinePunct w:val="0"/>
                    <w:bidi w:val="0"/>
                    <w:ind w:firstLine="0" w:firstLineChars="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2167" w:type="pct"/>
                  <w:vAlign w:val="center"/>
                </w:tcPr>
                <w:p>
                  <w:pPr>
                    <w:pageBreakBefore w:val="0"/>
                    <w:kinsoku/>
                    <w:wordWrap/>
                    <w:overflowPunct/>
                    <w:topLinePunct w:val="0"/>
                    <w:bidi w:val="0"/>
                    <w:ind w:firstLine="0" w:firstLineChars="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本项目位于</w:t>
                  </w:r>
                  <w:r>
                    <w:rPr>
                      <w:rFonts w:hint="default" w:ascii="Times New Roman" w:hAnsi="Times New Roman" w:cs="Times New Roman" w:eastAsiaTheme="minorEastAsia"/>
                      <w:color w:val="auto"/>
                      <w:sz w:val="21"/>
                      <w:szCs w:val="21"/>
                      <w:lang w:eastAsia="zh-CN"/>
                    </w:rPr>
                    <w:t>云南澄江产业园区</w:t>
                  </w:r>
                  <w:r>
                    <w:rPr>
                      <w:rFonts w:hint="default" w:ascii="Times New Roman" w:hAnsi="Times New Roman" w:cs="Times New Roman" w:eastAsiaTheme="minorEastAsia"/>
                      <w:color w:val="auto"/>
                      <w:sz w:val="21"/>
                      <w:szCs w:val="21"/>
                    </w:rPr>
                    <w:t>提古片区，用地类型属于工业用地。项目占地不涉及自然保护区、风景名胜区、国家公益林等，项目不涉及生态红线范围及一般生态空间范围。</w:t>
                  </w:r>
                </w:p>
              </w:tc>
              <w:tc>
                <w:tcPr>
                  <w:tcW w:w="376"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restar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环境质量底线</w:t>
                  </w:r>
                </w:p>
              </w:tc>
              <w:tc>
                <w:tcPr>
                  <w:tcW w:w="399"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水环境质量底线</w:t>
                  </w:r>
                </w:p>
              </w:tc>
              <w:tc>
                <w:tcPr>
                  <w:tcW w:w="1676" w:type="pct"/>
                  <w:vAlign w:val="center"/>
                </w:tcPr>
                <w:p>
                  <w:pPr>
                    <w:pageBreakBefore w:val="0"/>
                    <w:kinsoku/>
                    <w:wordWrap/>
                    <w:overflowPunct/>
                    <w:topLinePunct w:val="0"/>
                    <w:bidi w:val="0"/>
                    <w:ind w:firstLine="0" w:firstLineChars="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到2025年，全市水环境质量持续改善，纳入国家和省级考核的地表水监测断面水质优良率稳步提升。抚仙湖水质稳定保持Ⅰ类水质标准，星云湖、杞麓湖水质指标均达到Ⅴ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tc>
              <w:tc>
                <w:tcPr>
                  <w:tcW w:w="2167" w:type="pct"/>
                  <w:vAlign w:val="center"/>
                </w:tcPr>
                <w:p>
                  <w:pPr>
                    <w:pageBreakBefore w:val="0"/>
                    <w:kinsoku/>
                    <w:wordWrap/>
                    <w:overflowPunct/>
                    <w:topLinePunct w:val="0"/>
                    <w:bidi w:val="0"/>
                    <w:adjustRightInd w:val="0"/>
                    <w:snapToGrid w:val="0"/>
                    <w:ind w:firstLine="0" w:firstLineChars="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项目位于</w:t>
                  </w:r>
                  <w:r>
                    <w:rPr>
                      <w:rFonts w:hint="default" w:ascii="Times New Roman" w:hAnsi="Times New Roman" w:cs="Times New Roman" w:eastAsiaTheme="minorEastAsia"/>
                      <w:color w:val="auto"/>
                      <w:sz w:val="21"/>
                      <w:szCs w:val="21"/>
                      <w:lang w:eastAsia="zh-CN"/>
                    </w:rPr>
                    <w:t>云南澄江产业园区提古片区</w:t>
                  </w:r>
                  <w:r>
                    <w:rPr>
                      <w:rFonts w:hint="default" w:ascii="Times New Roman" w:hAnsi="Times New Roman" w:cs="Times New Roman" w:eastAsiaTheme="minorEastAsia"/>
                      <w:color w:val="auto"/>
                      <w:sz w:val="21"/>
                      <w:szCs w:val="21"/>
                    </w:rPr>
                    <w:t>，属于滇池流域，经调查，滇池位于项目西侧</w:t>
                  </w:r>
                  <w:r>
                    <w:rPr>
                      <w:rFonts w:hint="default" w:ascii="Times New Roman" w:hAnsi="Times New Roman" w:cs="Times New Roman" w:eastAsiaTheme="minorEastAsia"/>
                      <w:color w:val="auto"/>
                      <w:sz w:val="21"/>
                      <w:szCs w:val="21"/>
                      <w:lang w:val="en-US" w:eastAsia="zh-CN"/>
                    </w:rPr>
                    <w:t>11</w:t>
                  </w:r>
                  <w:r>
                    <w:rPr>
                      <w:rFonts w:hint="default" w:ascii="Times New Roman" w:hAnsi="Times New Roman" w:cs="Times New Roman" w:eastAsiaTheme="minorEastAsia"/>
                      <w:color w:val="auto"/>
                      <w:sz w:val="21"/>
                      <w:szCs w:val="21"/>
                    </w:rPr>
                    <w:t>km，项目周围无</w:t>
                  </w:r>
                  <w:r>
                    <w:rPr>
                      <w:rFonts w:hint="default" w:ascii="Times New Roman" w:hAnsi="Times New Roman" w:cs="Times New Roman" w:eastAsiaTheme="minorEastAsia"/>
                      <w:color w:val="auto"/>
                      <w:sz w:val="21"/>
                      <w:szCs w:val="21"/>
                      <w:lang w:eastAsia="zh-CN"/>
                    </w:rPr>
                    <w:t>常年流动的</w:t>
                  </w:r>
                  <w:r>
                    <w:rPr>
                      <w:rFonts w:hint="default" w:ascii="Times New Roman" w:hAnsi="Times New Roman" w:cs="Times New Roman" w:eastAsiaTheme="minorEastAsia"/>
                      <w:color w:val="auto"/>
                      <w:sz w:val="21"/>
                      <w:szCs w:val="21"/>
                    </w:rPr>
                    <w:t>地表水。</w:t>
                  </w:r>
                  <w:r>
                    <w:rPr>
                      <w:rFonts w:hint="default" w:ascii="Times New Roman" w:hAnsi="Times New Roman" w:cs="Times New Roman" w:eastAsiaTheme="minorEastAsia"/>
                      <w:color w:val="auto"/>
                      <w:sz w:val="21"/>
                      <w:szCs w:val="21"/>
                      <w:lang w:eastAsia="zh-CN"/>
                    </w:rPr>
                    <w:t>离项目区最近的入滇河流梁王河（</w:t>
                  </w:r>
                  <w:r>
                    <w:rPr>
                      <w:rFonts w:hint="default" w:ascii="Times New Roman" w:hAnsi="Times New Roman" w:cs="Times New Roman" w:eastAsiaTheme="minorEastAsia"/>
                      <w:color w:val="auto"/>
                      <w:sz w:val="21"/>
                      <w:szCs w:val="21"/>
                      <w:lang w:val="en-US" w:eastAsia="zh-CN"/>
                    </w:rPr>
                    <w:t>距项目北侧4.1km</w:t>
                  </w:r>
                  <w:r>
                    <w:rPr>
                      <w:rFonts w:hint="default" w:ascii="Times New Roman" w:hAnsi="Times New Roman" w:cs="Times New Roman" w:eastAsiaTheme="minorEastAsia"/>
                      <w:color w:val="auto"/>
                      <w:sz w:val="21"/>
                      <w:szCs w:val="21"/>
                      <w:lang w:eastAsia="zh-CN"/>
                    </w:rPr>
                    <w:t>）呈贡辖区海康庄园南300米（小月角）断面水质为Ⅱ类，水质状况优，</w:t>
                  </w:r>
                  <w:r>
                    <w:rPr>
                      <w:rFonts w:hint="default" w:ascii="Times New Roman" w:hAnsi="Times New Roman" w:cs="Times New Roman" w:eastAsiaTheme="minorEastAsia"/>
                      <w:color w:val="auto"/>
                      <w:sz w:val="21"/>
                      <w:szCs w:val="21"/>
                    </w:rPr>
                    <w:t>项目所在区域为水环境达标区。</w:t>
                  </w:r>
                </w:p>
                <w:p>
                  <w:pPr>
                    <w:pageBreakBefore w:val="0"/>
                    <w:kinsoku/>
                    <w:wordWrap/>
                    <w:overflowPunct/>
                    <w:topLinePunct w:val="0"/>
                    <w:bidi w:val="0"/>
                    <w:ind w:firstLine="0" w:firstLineChars="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根据工程分析，本项目运营期生产废水</w:t>
                  </w:r>
                  <w:r>
                    <w:rPr>
                      <w:rFonts w:hint="default" w:ascii="Times New Roman" w:hAnsi="Times New Roman" w:cs="Times New Roman" w:eastAsiaTheme="minorEastAsia"/>
                      <w:color w:val="auto"/>
                      <w:sz w:val="21"/>
                      <w:szCs w:val="21"/>
                      <w:lang w:eastAsia="zh-CN"/>
                    </w:rPr>
                    <w:t>循环使用</w:t>
                  </w:r>
                  <w:r>
                    <w:rPr>
                      <w:rFonts w:hint="default" w:ascii="Times New Roman" w:hAnsi="Times New Roman" w:cs="Times New Roman" w:eastAsiaTheme="minorEastAsia"/>
                      <w:color w:val="auto"/>
                      <w:sz w:val="21"/>
                      <w:szCs w:val="21"/>
                    </w:rPr>
                    <w:t>，生活污水经</w:t>
                  </w:r>
                  <w:r>
                    <w:rPr>
                      <w:rFonts w:hint="eastAsia" w:cs="Times New Roman" w:eastAsiaTheme="minorEastAsia"/>
                      <w:color w:val="auto"/>
                      <w:sz w:val="21"/>
                      <w:szCs w:val="21"/>
                      <w:lang w:eastAsia="zh-CN"/>
                    </w:rPr>
                    <w:t>油水分离器</w:t>
                  </w:r>
                  <w:r>
                    <w:rPr>
                      <w:rFonts w:hint="default" w:ascii="Times New Roman" w:hAnsi="Times New Roman" w:cs="Times New Roman" w:eastAsiaTheme="minorEastAsia"/>
                      <w:color w:val="auto"/>
                      <w:sz w:val="21"/>
                      <w:szCs w:val="21"/>
                    </w:rPr>
                    <w:t>、化粪池</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一体化污水处理站</w:t>
                  </w:r>
                  <w:r>
                    <w:rPr>
                      <w:rFonts w:hint="default" w:ascii="Times New Roman" w:hAnsi="Times New Roman" w:cs="Times New Roman" w:eastAsiaTheme="minorEastAsia"/>
                      <w:color w:val="auto"/>
                      <w:sz w:val="21"/>
                      <w:szCs w:val="21"/>
                    </w:rPr>
                    <w:t>处理后，全部</w:t>
                  </w:r>
                  <w:r>
                    <w:rPr>
                      <w:rFonts w:hint="default" w:ascii="Times New Roman" w:hAnsi="Times New Roman" w:cs="Times New Roman" w:eastAsiaTheme="minorEastAsia"/>
                      <w:color w:val="auto"/>
                      <w:sz w:val="21"/>
                      <w:szCs w:val="21"/>
                      <w:lang w:val="en-US" w:eastAsia="zh-CN"/>
                    </w:rPr>
                    <w:t>回用于厂区绿化</w:t>
                  </w:r>
                  <w:r>
                    <w:rPr>
                      <w:rFonts w:hint="default" w:ascii="Times New Roman" w:hAnsi="Times New Roman" w:cs="Times New Roman" w:eastAsiaTheme="minorEastAsia"/>
                      <w:color w:val="auto"/>
                      <w:sz w:val="21"/>
                      <w:szCs w:val="21"/>
                    </w:rPr>
                    <w:t>，不外排，故项目建设不会突破水环境质量底线。</w:t>
                  </w:r>
                </w:p>
              </w:tc>
              <w:tc>
                <w:tcPr>
                  <w:tcW w:w="376"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p>
              </w:tc>
              <w:tc>
                <w:tcPr>
                  <w:tcW w:w="399"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大气环境质量底线</w:t>
                  </w:r>
                </w:p>
              </w:tc>
              <w:tc>
                <w:tcPr>
                  <w:tcW w:w="1676" w:type="pct"/>
                  <w:vAlign w:val="center"/>
                </w:tcPr>
                <w:p>
                  <w:pPr>
                    <w:pageBreakBefore w:val="0"/>
                    <w:kinsoku/>
                    <w:wordWrap/>
                    <w:overflowPunct/>
                    <w:topLinePunct w:val="0"/>
                    <w:bidi w:val="0"/>
                    <w:ind w:firstLine="0" w:firstLineChars="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tc>
              <w:tc>
                <w:tcPr>
                  <w:tcW w:w="2167" w:type="pct"/>
                  <w:vAlign w:val="center"/>
                </w:tcPr>
                <w:p>
                  <w:pPr>
                    <w:pageBreakBefore w:val="0"/>
                    <w:kinsoku/>
                    <w:wordWrap/>
                    <w:overflowPunct/>
                    <w:topLinePunct w:val="0"/>
                    <w:bidi w:val="0"/>
                    <w:ind w:firstLine="0" w:firstLineChars="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根据</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202</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年澄江市环境空气质量情况报告</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，项目所在区域的大气环境质量达</w:t>
                  </w:r>
                  <w:r>
                    <w:rPr>
                      <w:rFonts w:hint="default" w:ascii="Times New Roman" w:hAnsi="Times New Roman" w:cs="Times New Roman" w:eastAsiaTheme="minorEastAsia"/>
                      <w:color w:val="auto"/>
                      <w:sz w:val="21"/>
                      <w:szCs w:val="21"/>
                      <w:lang w:val="en-US" w:eastAsia="zh-CN"/>
                    </w:rPr>
                    <w:t>到</w:t>
                  </w:r>
                  <w:r>
                    <w:rPr>
                      <w:rFonts w:hint="default" w:ascii="Times New Roman" w:hAnsi="Times New Roman" w:cs="Times New Roman" w:eastAsiaTheme="minorEastAsia"/>
                      <w:color w:val="auto"/>
                      <w:sz w:val="21"/>
                      <w:szCs w:val="21"/>
                    </w:rPr>
                    <w:t>《环境空气质量标准》（GB3095-2012）二级标准</w:t>
                  </w:r>
                  <w:r>
                    <w:rPr>
                      <w:rFonts w:hint="default" w:ascii="Times New Roman" w:hAnsi="Times New Roman" w:cs="Times New Roman" w:eastAsiaTheme="minorEastAsia"/>
                      <w:color w:val="auto"/>
                      <w:sz w:val="21"/>
                      <w:szCs w:val="21"/>
                      <w:lang w:val="en-US" w:eastAsia="zh-CN"/>
                    </w:rPr>
                    <w:t>及修改清单</w:t>
                  </w:r>
                  <w:r>
                    <w:rPr>
                      <w:rFonts w:hint="default" w:ascii="Times New Roman" w:hAnsi="Times New Roman" w:cs="Times New Roman" w:eastAsiaTheme="minorEastAsia"/>
                      <w:color w:val="auto"/>
                      <w:sz w:val="21"/>
                      <w:szCs w:val="21"/>
                    </w:rPr>
                    <w:t>，项目属环境空气质量达标区；此外，根据补充监测，项目所在区域的TSP日均值浓度、苯、甲苯、二甲苯小时浓度能够达到《环境空气质量标准》（GB3095-2012）二级评价标准要求；非甲烷总烃小时值均能满足《大气污染物综合排放标准详解》中浓度限值。项目区环境空气质量满足功能区要求。故项目建设不会突破大气环境质量底线。</w:t>
                  </w:r>
                </w:p>
              </w:tc>
              <w:tc>
                <w:tcPr>
                  <w:tcW w:w="376"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vMerge w:val="continue"/>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p>
              </w:tc>
              <w:tc>
                <w:tcPr>
                  <w:tcW w:w="399"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土壤环境风险防控底线</w:t>
                  </w:r>
                </w:p>
              </w:tc>
              <w:tc>
                <w:tcPr>
                  <w:tcW w:w="1676" w:type="pct"/>
                  <w:vAlign w:val="center"/>
                </w:tcPr>
                <w:p>
                  <w:pPr>
                    <w:pageBreakBefore w:val="0"/>
                    <w:kinsoku/>
                    <w:wordWrap/>
                    <w:overflowPunct/>
                    <w:topLinePunct w:val="0"/>
                    <w:bidi w:val="0"/>
                    <w:ind w:firstLine="0" w:firstLineChars="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2167" w:type="pct"/>
                  <w:vAlign w:val="center"/>
                </w:tcPr>
                <w:p>
                  <w:pPr>
                    <w:pageBreakBefore w:val="0"/>
                    <w:kinsoku/>
                    <w:wordWrap/>
                    <w:overflowPunct/>
                    <w:topLinePunct w:val="0"/>
                    <w:bidi w:val="0"/>
                    <w:ind w:firstLine="0" w:firstLineChars="0"/>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eastAsia="zh-CN"/>
                    </w:rPr>
                    <w:t>项目</w:t>
                  </w:r>
                  <w:r>
                    <w:rPr>
                      <w:rFonts w:hint="default" w:ascii="Times New Roman" w:hAnsi="Times New Roman" w:cs="Times New Roman" w:eastAsiaTheme="minorEastAsia"/>
                      <w:color w:val="auto"/>
                      <w:sz w:val="21"/>
                      <w:szCs w:val="21"/>
                    </w:rPr>
                    <w:t>位于</w:t>
                  </w:r>
                  <w:r>
                    <w:rPr>
                      <w:rFonts w:hint="default" w:ascii="Times New Roman" w:hAnsi="Times New Roman" w:cs="Times New Roman" w:eastAsiaTheme="minorEastAsia"/>
                      <w:color w:val="auto"/>
                      <w:sz w:val="21"/>
                      <w:szCs w:val="21"/>
                      <w:lang w:eastAsia="zh-CN"/>
                    </w:rPr>
                    <w:t>云南澄江产业园区提古片区，属于建设用地，</w:t>
                  </w:r>
                  <w:r>
                    <w:rPr>
                      <w:rFonts w:hint="default" w:ascii="Times New Roman" w:hAnsi="Times New Roman" w:cs="Times New Roman" w:eastAsiaTheme="minorEastAsia"/>
                      <w:color w:val="auto"/>
                      <w:sz w:val="21"/>
                      <w:szCs w:val="21"/>
                    </w:rPr>
                    <w:t>生产所需的原料以及生产工艺流程中不涉及重金属等污染物排放，对土壤环境造成影响的可能性小，故项目建设不会突破土壤环境风险防控底线。</w:t>
                  </w:r>
                </w:p>
              </w:tc>
              <w:tc>
                <w:tcPr>
                  <w:tcW w:w="376"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资源利用上线</w:t>
                  </w:r>
                </w:p>
              </w:tc>
              <w:tc>
                <w:tcPr>
                  <w:tcW w:w="2075" w:type="pct"/>
                  <w:gridSpan w:val="2"/>
                  <w:vAlign w:val="center"/>
                </w:tcPr>
                <w:p>
                  <w:pPr>
                    <w:pageBreakBefore w:val="0"/>
                    <w:kinsoku/>
                    <w:wordWrap/>
                    <w:overflowPunct/>
                    <w:topLinePunct w:val="0"/>
                    <w:bidi w:val="0"/>
                    <w:ind w:firstLine="0" w:firstLineChars="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强化资源能源节约集约利用，持续提升资源能源利用效率，水资源、土地资源、能源消耗等达到或优于省下达的总量和强度控制目标。</w:t>
                  </w:r>
                </w:p>
              </w:tc>
              <w:tc>
                <w:tcPr>
                  <w:tcW w:w="2167" w:type="pct"/>
                  <w:vAlign w:val="center"/>
                </w:tcPr>
                <w:p>
                  <w:pPr>
                    <w:pageBreakBefore w:val="0"/>
                    <w:kinsoku/>
                    <w:wordWrap/>
                    <w:overflowPunct/>
                    <w:topLinePunct w:val="0"/>
                    <w:bidi w:val="0"/>
                    <w:ind w:firstLine="0" w:firstLineChars="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项目不合格产品收集后</w:t>
                  </w:r>
                  <w:r>
                    <w:rPr>
                      <w:rFonts w:hint="default" w:ascii="Times New Roman" w:hAnsi="Times New Roman" w:cs="Times New Roman" w:eastAsiaTheme="minorEastAsia"/>
                      <w:color w:val="auto"/>
                      <w:sz w:val="21"/>
                      <w:szCs w:val="21"/>
                      <w:lang w:val="en-US" w:eastAsia="zh-CN"/>
                    </w:rPr>
                    <w:t>外售</w:t>
                  </w:r>
                  <w:r>
                    <w:rPr>
                      <w:rFonts w:hint="default" w:ascii="Times New Roman" w:hAnsi="Times New Roman" w:cs="Times New Roman" w:eastAsiaTheme="minorEastAsia"/>
                      <w:color w:val="auto"/>
                      <w:sz w:val="21"/>
                      <w:szCs w:val="21"/>
                    </w:rPr>
                    <w:t>，整体提高了项目能源利用率；生产过程中冷却水全部循环使用，合理利用水资源，不会造成水资源浪费，符合水资源利用上线要求。</w:t>
                  </w:r>
                </w:p>
              </w:tc>
              <w:tc>
                <w:tcPr>
                  <w:tcW w:w="376"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bCs/>
                      <w:color w:val="auto"/>
                      <w:sz w:val="21"/>
                      <w:szCs w:val="21"/>
                    </w:rPr>
                    <w:t>重点管控单元生态环境准入清单（澄江市工业集中区重点管控单元）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restar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空间布局约束</w:t>
                  </w:r>
                </w:p>
              </w:tc>
              <w:tc>
                <w:tcPr>
                  <w:tcW w:w="2075" w:type="pct"/>
                  <w:gridSpan w:val="2"/>
                  <w:vAlign w:val="center"/>
                </w:tcPr>
                <w:p>
                  <w:pPr>
                    <w:pStyle w:val="100"/>
                    <w:pageBreakBefore w:val="0"/>
                    <w:kinsoku/>
                    <w:wordWrap/>
                    <w:overflowPunct/>
                    <w:topLinePunct w:val="0"/>
                    <w:bidi w:val="0"/>
                    <w:ind w:firstLine="0" w:firstLineChars="0"/>
                    <w:jc w:val="both"/>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rPr>
                    <w:t>蛟龙潭片区和提古高新区禁止规划布局三类工业用地。</w:t>
                  </w:r>
                </w:p>
              </w:tc>
              <w:tc>
                <w:tcPr>
                  <w:tcW w:w="2167" w:type="pct"/>
                  <w:vAlign w:val="center"/>
                </w:tcPr>
                <w:p>
                  <w:pPr>
                    <w:pStyle w:val="100"/>
                    <w:pageBreakBefore w:val="0"/>
                    <w:kinsoku/>
                    <w:wordWrap/>
                    <w:overflowPunct/>
                    <w:topLinePunct w:val="0"/>
                    <w:bidi w:val="0"/>
                    <w:ind w:firstLine="0" w:firstLineChars="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项目用地属于二类工业用地</w:t>
                  </w:r>
                </w:p>
              </w:tc>
              <w:tc>
                <w:tcPr>
                  <w:tcW w:w="376"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p>
              </w:tc>
              <w:tc>
                <w:tcPr>
                  <w:tcW w:w="2075" w:type="pct"/>
                  <w:gridSpan w:val="2"/>
                  <w:vAlign w:val="center"/>
                </w:tcPr>
                <w:p>
                  <w:pPr>
                    <w:pStyle w:val="100"/>
                    <w:pageBreakBefore w:val="0"/>
                    <w:kinsoku/>
                    <w:wordWrap/>
                    <w:overflowPunct/>
                    <w:topLinePunct w:val="0"/>
                    <w:bidi w:val="0"/>
                    <w:ind w:firstLine="0" w:firstLineChars="0"/>
                    <w:jc w:val="both"/>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rPr>
                    <w:t>园区的发展应从上大关小、清洁生产、节能降耗等方面重点考虑，走新型工业化路线。</w:t>
                  </w:r>
                </w:p>
              </w:tc>
              <w:tc>
                <w:tcPr>
                  <w:tcW w:w="2167"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pacing w:val="-1"/>
                      <w:sz w:val="21"/>
                      <w:szCs w:val="21"/>
                    </w:rPr>
                    <w:t>本项目主要使用电能清洁能源加工生产，不属于高能耗行业，</w:t>
                  </w:r>
                  <w:r>
                    <w:rPr>
                      <w:rFonts w:hint="default" w:ascii="Times New Roman" w:hAnsi="Times New Roman" w:cs="Times New Roman" w:eastAsiaTheme="minorEastAsia"/>
                      <w:color w:val="auto"/>
                      <w:spacing w:val="-1"/>
                      <w:sz w:val="21"/>
                      <w:szCs w:val="21"/>
                      <w:lang w:val="en-US"/>
                    </w:rPr>
                    <w:t>项目所用原料均为</w:t>
                  </w:r>
                  <w:r>
                    <w:rPr>
                      <w:rFonts w:hint="default" w:ascii="Times New Roman" w:hAnsi="Times New Roman" w:cs="Times New Roman" w:eastAsiaTheme="minorEastAsia"/>
                      <w:color w:val="auto"/>
                      <w:sz w:val="21"/>
                      <w:szCs w:val="21"/>
                      <w:lang w:eastAsia="zh-CN"/>
                    </w:rPr>
                    <w:t>钢化玻璃、JS8000建筑用双组份硅酮结构密封胶、丁基胶分子筛、分子筛架、标签铝间隔条</w:t>
                  </w:r>
                  <w:r>
                    <w:rPr>
                      <w:rFonts w:hint="default" w:ascii="Times New Roman" w:hAnsi="Times New Roman" w:cs="Times New Roman" w:eastAsiaTheme="minorEastAsia"/>
                      <w:color w:val="auto"/>
                      <w:sz w:val="21"/>
                      <w:szCs w:val="21"/>
                      <w:lang w:val="en-US" w:eastAsia="zh-CN"/>
                    </w:rPr>
                    <w:t>等</w:t>
                  </w:r>
                  <w:r>
                    <w:rPr>
                      <w:rFonts w:hint="default" w:ascii="Times New Roman" w:hAnsi="Times New Roman" w:cs="Times New Roman" w:eastAsiaTheme="minorEastAsia"/>
                      <w:color w:val="auto"/>
                      <w:spacing w:val="-1"/>
                      <w:sz w:val="21"/>
                      <w:szCs w:val="21"/>
                      <w:lang w:val="en-US"/>
                    </w:rPr>
                    <w:t>。</w:t>
                  </w:r>
                </w:p>
              </w:tc>
              <w:tc>
                <w:tcPr>
                  <w:tcW w:w="376"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污染物排放管控</w:t>
                  </w:r>
                </w:p>
              </w:tc>
              <w:tc>
                <w:tcPr>
                  <w:tcW w:w="2075" w:type="pct"/>
                  <w:gridSpan w:val="2"/>
                  <w:vAlign w:val="center"/>
                </w:tcPr>
                <w:p>
                  <w:pPr>
                    <w:pStyle w:val="100"/>
                    <w:pageBreakBefore w:val="0"/>
                    <w:kinsoku/>
                    <w:wordWrap/>
                    <w:overflowPunct/>
                    <w:topLinePunct w:val="0"/>
                    <w:bidi w:val="0"/>
                    <w:ind w:firstLine="0" w:firstLineChars="0"/>
                    <w:jc w:val="both"/>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园区应加快环保基础设施建设，各片区生活污水必须处理达到《城镇污水处理厂污染物排放标准》（GB18918－2002）一级标准的A标准。</w:t>
                  </w:r>
                </w:p>
              </w:tc>
              <w:tc>
                <w:tcPr>
                  <w:tcW w:w="2167" w:type="pct"/>
                  <w:vAlign w:val="center"/>
                </w:tcPr>
                <w:p>
                  <w:pPr>
                    <w:pStyle w:val="100"/>
                    <w:pageBreakBefore w:val="0"/>
                    <w:kinsoku/>
                    <w:wordWrap/>
                    <w:overflowPunct/>
                    <w:topLinePunct w:val="0"/>
                    <w:bidi w:val="0"/>
                    <w:ind w:firstLine="0" w:firstLineChars="0"/>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项目生产过程中冷却水全部循环使用，生活污水经</w:t>
                  </w:r>
                  <w:r>
                    <w:rPr>
                      <w:rFonts w:hint="eastAsia" w:cs="Times New Roman" w:eastAsiaTheme="minorEastAsia"/>
                      <w:color w:val="auto"/>
                      <w:spacing w:val="-1"/>
                      <w:sz w:val="21"/>
                      <w:szCs w:val="21"/>
                      <w:lang w:eastAsia="zh-CN"/>
                    </w:rPr>
                    <w:t>油水分离器</w:t>
                  </w:r>
                  <w:r>
                    <w:rPr>
                      <w:rFonts w:hint="default" w:ascii="Times New Roman" w:hAnsi="Times New Roman" w:cs="Times New Roman" w:eastAsiaTheme="minorEastAsia"/>
                      <w:color w:val="auto"/>
                      <w:spacing w:val="-1"/>
                      <w:sz w:val="21"/>
                      <w:szCs w:val="21"/>
                    </w:rPr>
                    <w:t>、化粪池处理</w:t>
                  </w:r>
                  <w:r>
                    <w:rPr>
                      <w:rFonts w:hint="default" w:ascii="Times New Roman" w:hAnsi="Times New Roman" w:cs="Times New Roman" w:eastAsiaTheme="minorEastAsia"/>
                      <w:color w:val="auto"/>
                      <w:spacing w:val="-1"/>
                      <w:sz w:val="21"/>
                      <w:szCs w:val="21"/>
                      <w:lang w:eastAsia="zh-CN"/>
                    </w:rPr>
                    <w:t>，</w:t>
                  </w:r>
                  <w:r>
                    <w:rPr>
                      <w:rFonts w:hint="default" w:ascii="Times New Roman" w:hAnsi="Times New Roman" w:cs="Times New Roman" w:eastAsiaTheme="minorEastAsia"/>
                      <w:color w:val="auto"/>
                      <w:spacing w:val="-1"/>
                      <w:sz w:val="21"/>
                      <w:szCs w:val="21"/>
                    </w:rPr>
                    <w:t>处理后进入</w:t>
                  </w:r>
                  <w:r>
                    <w:rPr>
                      <w:rFonts w:hint="default" w:ascii="Times New Roman" w:hAnsi="Times New Roman" w:cs="Times New Roman" w:eastAsiaTheme="minorEastAsia"/>
                      <w:color w:val="auto"/>
                      <w:spacing w:val="-1"/>
                      <w:sz w:val="21"/>
                      <w:szCs w:val="21"/>
                      <w:lang w:eastAsia="zh-CN"/>
                    </w:rPr>
                    <w:t>云南鑫成鹏高分子科技有限公司</w:t>
                  </w:r>
                  <w:r>
                    <w:rPr>
                      <w:rFonts w:hint="default" w:ascii="Times New Roman" w:hAnsi="Times New Roman" w:cs="Times New Roman" w:eastAsiaTheme="minorEastAsia"/>
                      <w:color w:val="auto"/>
                      <w:spacing w:val="-1"/>
                      <w:sz w:val="21"/>
                      <w:szCs w:val="21"/>
                    </w:rPr>
                    <w:t>自建的一体化污水处理设施处理达标后晴天回用于</w:t>
                  </w:r>
                  <w:r>
                    <w:rPr>
                      <w:rFonts w:hint="default" w:ascii="Times New Roman" w:hAnsi="Times New Roman" w:cs="Times New Roman" w:eastAsiaTheme="minorEastAsia"/>
                      <w:color w:val="auto"/>
                      <w:spacing w:val="-1"/>
                      <w:sz w:val="21"/>
                      <w:szCs w:val="21"/>
                      <w:lang w:eastAsia="zh-CN"/>
                    </w:rPr>
                    <w:t>云南鑫成鹏高分子科技有限公司</w:t>
                  </w:r>
                  <w:r>
                    <w:rPr>
                      <w:rFonts w:hint="default" w:ascii="Times New Roman" w:hAnsi="Times New Roman" w:cs="Times New Roman" w:eastAsiaTheme="minorEastAsia"/>
                      <w:color w:val="auto"/>
                      <w:spacing w:val="-1"/>
                      <w:sz w:val="21"/>
                      <w:szCs w:val="21"/>
                    </w:rPr>
                    <w:t>的绿化及道路洒水降尘，不外排，雨天暂存于回用水池。</w:t>
                  </w:r>
                </w:p>
              </w:tc>
              <w:tc>
                <w:tcPr>
                  <w:tcW w:w="376"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环境风险防控</w:t>
                  </w:r>
                </w:p>
              </w:tc>
              <w:tc>
                <w:tcPr>
                  <w:tcW w:w="2075" w:type="pct"/>
                  <w:gridSpan w:val="2"/>
                  <w:vAlign w:val="center"/>
                </w:tcPr>
                <w:p>
                  <w:pPr>
                    <w:pStyle w:val="100"/>
                    <w:pageBreakBefore w:val="0"/>
                    <w:kinsoku/>
                    <w:wordWrap/>
                    <w:overflowPunct/>
                    <w:topLinePunct w:val="0"/>
                    <w:bidi w:val="0"/>
                    <w:ind w:firstLine="0" w:firstLineChars="0"/>
                    <w:jc w:val="both"/>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制定突发环境事件应急预案，完善风险管理机制，加强风险控制防范。建立区域环境监测制度，加强规划实施的跟踪监测与管理。</w:t>
                  </w:r>
                </w:p>
              </w:tc>
              <w:tc>
                <w:tcPr>
                  <w:tcW w:w="2167" w:type="pct"/>
                  <w:vAlign w:val="center"/>
                </w:tcPr>
                <w:p>
                  <w:pPr>
                    <w:pStyle w:val="100"/>
                    <w:pageBreakBefore w:val="0"/>
                    <w:kinsoku/>
                    <w:wordWrap/>
                    <w:overflowPunct/>
                    <w:topLinePunct w:val="0"/>
                    <w:bidi w:val="0"/>
                    <w:ind w:firstLine="0" w:firstLineChars="0"/>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项目建成运行后，建设单位</w:t>
                  </w:r>
                  <w:r>
                    <w:rPr>
                      <w:rFonts w:hint="default" w:ascii="Times New Roman" w:hAnsi="Times New Roman" w:cs="Times New Roman" w:eastAsiaTheme="minorEastAsia"/>
                      <w:color w:val="auto"/>
                      <w:spacing w:val="-1"/>
                      <w:sz w:val="21"/>
                      <w:szCs w:val="21"/>
                      <w:lang w:eastAsia="zh-CN"/>
                    </w:rPr>
                    <w:t>将</w:t>
                  </w:r>
                  <w:r>
                    <w:rPr>
                      <w:rFonts w:hint="default" w:ascii="Times New Roman" w:hAnsi="Times New Roman" w:cs="Times New Roman" w:eastAsiaTheme="minorEastAsia"/>
                      <w:color w:val="auto"/>
                      <w:spacing w:val="-1"/>
                      <w:sz w:val="21"/>
                      <w:szCs w:val="21"/>
                    </w:rPr>
                    <w:t>编制《突发事故环境风险应急预案》报送</w:t>
                  </w:r>
                  <w:r>
                    <w:rPr>
                      <w:rFonts w:hint="default" w:ascii="Times New Roman" w:hAnsi="Times New Roman" w:cs="Times New Roman" w:eastAsiaTheme="minorEastAsia"/>
                      <w:color w:val="auto"/>
                      <w:spacing w:val="-1"/>
                      <w:sz w:val="21"/>
                      <w:szCs w:val="21"/>
                      <w:lang w:eastAsia="zh-CN"/>
                    </w:rPr>
                    <w:t>玉溪市生态环境局澄江分局</w:t>
                  </w:r>
                  <w:r>
                    <w:rPr>
                      <w:rFonts w:hint="default" w:ascii="Times New Roman" w:hAnsi="Times New Roman" w:cs="Times New Roman" w:eastAsiaTheme="minorEastAsia"/>
                      <w:color w:val="auto"/>
                      <w:spacing w:val="-1"/>
                      <w:sz w:val="21"/>
                      <w:szCs w:val="21"/>
                    </w:rPr>
                    <w:t>进行备案。企业后期运营期将按排污许可</w:t>
                  </w:r>
                  <w:bookmarkStart w:id="27" w:name="_GoBack"/>
                  <w:bookmarkEnd w:id="27"/>
                  <w:r>
                    <w:rPr>
                      <w:rFonts w:hint="default" w:ascii="Times New Roman" w:hAnsi="Times New Roman" w:cs="Times New Roman" w:eastAsiaTheme="minorEastAsia"/>
                      <w:color w:val="auto"/>
                      <w:spacing w:val="-1"/>
                      <w:sz w:val="21"/>
                      <w:szCs w:val="21"/>
                    </w:rPr>
                    <w:t>管理条例落实各项自行检测。</w:t>
                  </w:r>
                </w:p>
              </w:tc>
              <w:tc>
                <w:tcPr>
                  <w:tcW w:w="376"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资源开发效率要求</w:t>
                  </w:r>
                </w:p>
              </w:tc>
              <w:tc>
                <w:tcPr>
                  <w:tcW w:w="2075" w:type="pct"/>
                  <w:gridSpan w:val="2"/>
                  <w:vAlign w:val="center"/>
                </w:tcPr>
                <w:p>
                  <w:pPr>
                    <w:pStyle w:val="100"/>
                    <w:pageBreakBefore w:val="0"/>
                    <w:kinsoku/>
                    <w:wordWrap/>
                    <w:overflowPunct/>
                    <w:topLinePunct w:val="0"/>
                    <w:bidi w:val="0"/>
                    <w:ind w:firstLine="0" w:firstLineChars="0"/>
                    <w:jc w:val="both"/>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工业用水重复利用率≥75%。</w:t>
                  </w:r>
                </w:p>
              </w:tc>
              <w:tc>
                <w:tcPr>
                  <w:tcW w:w="2167" w:type="pct"/>
                  <w:vAlign w:val="center"/>
                </w:tcPr>
                <w:p>
                  <w:pPr>
                    <w:pStyle w:val="100"/>
                    <w:pageBreakBefore w:val="0"/>
                    <w:kinsoku/>
                    <w:wordWrap/>
                    <w:overflowPunct/>
                    <w:topLinePunct w:val="0"/>
                    <w:bidi w:val="0"/>
                    <w:ind w:firstLine="0" w:firstLineChars="0"/>
                    <w:rPr>
                      <w:rFonts w:hint="default" w:ascii="Times New Roman" w:hAnsi="Times New Roman" w:cs="Times New Roman" w:eastAsiaTheme="minorEastAsia"/>
                      <w:b w:val="0"/>
                      <w:bCs/>
                      <w:color w:val="auto"/>
                      <w:kern w:val="2"/>
                      <w:sz w:val="21"/>
                      <w:szCs w:val="21"/>
                      <w:lang w:eastAsia="zh-CN"/>
                    </w:rPr>
                  </w:pPr>
                  <w:r>
                    <w:rPr>
                      <w:rFonts w:hint="default" w:ascii="Times New Roman" w:hAnsi="Times New Roman" w:cs="Times New Roman" w:eastAsiaTheme="minorEastAsia"/>
                      <w:color w:val="auto"/>
                      <w:spacing w:val="-1"/>
                      <w:sz w:val="21"/>
                      <w:szCs w:val="21"/>
                    </w:rPr>
                    <w:t>项目生产过程中冷却水全部循环使用，生活污水经</w:t>
                  </w:r>
                  <w:r>
                    <w:rPr>
                      <w:rFonts w:hint="eastAsia" w:cs="Times New Roman" w:eastAsiaTheme="minorEastAsia"/>
                      <w:color w:val="auto"/>
                      <w:spacing w:val="-1"/>
                      <w:sz w:val="21"/>
                      <w:szCs w:val="21"/>
                      <w:lang w:eastAsia="zh-CN"/>
                    </w:rPr>
                    <w:t>油水分离器</w:t>
                  </w:r>
                  <w:r>
                    <w:rPr>
                      <w:rFonts w:hint="default" w:ascii="Times New Roman" w:hAnsi="Times New Roman" w:cs="Times New Roman" w:eastAsiaTheme="minorEastAsia"/>
                      <w:color w:val="auto"/>
                      <w:spacing w:val="-1"/>
                      <w:sz w:val="21"/>
                      <w:szCs w:val="21"/>
                    </w:rPr>
                    <w:t>、化粪池处理</w:t>
                  </w:r>
                  <w:r>
                    <w:rPr>
                      <w:rFonts w:hint="default" w:ascii="Times New Roman" w:hAnsi="Times New Roman" w:cs="Times New Roman" w:eastAsiaTheme="minorEastAsia"/>
                      <w:color w:val="auto"/>
                      <w:spacing w:val="-1"/>
                      <w:sz w:val="21"/>
                      <w:szCs w:val="21"/>
                      <w:lang w:eastAsia="zh-CN"/>
                    </w:rPr>
                    <w:t>，</w:t>
                  </w:r>
                  <w:r>
                    <w:rPr>
                      <w:rFonts w:hint="default" w:ascii="Times New Roman" w:hAnsi="Times New Roman" w:cs="Times New Roman" w:eastAsiaTheme="minorEastAsia"/>
                      <w:color w:val="auto"/>
                      <w:spacing w:val="-1"/>
                      <w:sz w:val="21"/>
                      <w:szCs w:val="21"/>
                    </w:rPr>
                    <w:t>处理后进入</w:t>
                  </w:r>
                  <w:r>
                    <w:rPr>
                      <w:rFonts w:hint="default" w:ascii="Times New Roman" w:hAnsi="Times New Roman" w:cs="Times New Roman" w:eastAsiaTheme="minorEastAsia"/>
                      <w:color w:val="auto"/>
                      <w:spacing w:val="-1"/>
                      <w:sz w:val="21"/>
                      <w:szCs w:val="21"/>
                      <w:lang w:eastAsia="zh-CN"/>
                    </w:rPr>
                    <w:t>云南鑫成鹏高分子科技有限公司</w:t>
                  </w:r>
                  <w:r>
                    <w:rPr>
                      <w:rFonts w:hint="default" w:ascii="Times New Roman" w:hAnsi="Times New Roman" w:cs="Times New Roman" w:eastAsiaTheme="minorEastAsia"/>
                      <w:color w:val="auto"/>
                      <w:spacing w:val="-1"/>
                      <w:sz w:val="21"/>
                      <w:szCs w:val="21"/>
                    </w:rPr>
                    <w:t>自建的一体化污水处理设施处理达标后晴天回用于</w:t>
                  </w:r>
                  <w:r>
                    <w:rPr>
                      <w:rFonts w:hint="default" w:ascii="Times New Roman" w:hAnsi="Times New Roman" w:cs="Times New Roman" w:eastAsiaTheme="minorEastAsia"/>
                      <w:color w:val="auto"/>
                      <w:spacing w:val="-1"/>
                      <w:sz w:val="21"/>
                      <w:szCs w:val="21"/>
                      <w:lang w:eastAsia="zh-CN"/>
                    </w:rPr>
                    <w:t>云南鑫成鹏高分子科技有限公司</w:t>
                  </w:r>
                  <w:r>
                    <w:rPr>
                      <w:rFonts w:hint="default" w:ascii="Times New Roman" w:hAnsi="Times New Roman" w:cs="Times New Roman" w:eastAsiaTheme="minorEastAsia"/>
                      <w:color w:val="auto"/>
                      <w:spacing w:val="-1"/>
                      <w:sz w:val="21"/>
                      <w:szCs w:val="21"/>
                    </w:rPr>
                    <w:t>的绿化及道路洒水降尘，不外排，雨天暂存于回用水池。</w:t>
                  </w:r>
                </w:p>
              </w:tc>
              <w:tc>
                <w:tcPr>
                  <w:tcW w:w="376"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bl>
          <w:p>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0" w:firstLineChars="200"/>
              <w:textAlignment w:val="auto"/>
              <w:rPr>
                <w:rFonts w:hint="default" w:ascii="Times New Roman" w:hAnsi="Times New Roman" w:cs="Times New Roman" w:eastAsiaTheme="minorEastAsia"/>
                <w:snapToGrid w:val="0"/>
                <w:color w:val="auto"/>
                <w:kern w:val="0"/>
                <w:szCs w:val="21"/>
              </w:rPr>
            </w:pPr>
            <w:r>
              <w:rPr>
                <w:rFonts w:hint="default" w:ascii="Times New Roman" w:hAnsi="Times New Roman" w:cs="Times New Roman" w:eastAsiaTheme="minorEastAsia"/>
                <w:color w:val="auto"/>
                <w:szCs w:val="21"/>
              </w:rPr>
              <w:t>根据上表1-4可知</w:t>
            </w:r>
            <w:r>
              <w:rPr>
                <w:rFonts w:hint="default" w:ascii="Times New Roman" w:hAnsi="Times New Roman" w:cs="Times New Roman" w:eastAsiaTheme="minorEastAsia"/>
                <w:snapToGrid w:val="0"/>
                <w:color w:val="auto"/>
                <w:kern w:val="0"/>
                <w:szCs w:val="21"/>
              </w:rPr>
              <w:t>，项目建设符合“玉溪市人民政府发布了关于印发玉溪市“三线一单”生态环境分区管控实施方案的通知（玉政发〔2021〕15号）”管理要求。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5、与《云南省滇池保护条例》符合性分析</w:t>
            </w:r>
          </w:p>
          <w:p>
            <w:pPr>
              <w:pStyle w:val="42"/>
              <w:ind w:firstLine="482"/>
              <w:rPr>
                <w:rFonts w:hint="default" w:ascii="Times New Roman" w:hAnsi="Times New Roman" w:cs="Times New Roman"/>
              </w:rPr>
            </w:pPr>
            <w:r>
              <w:rPr>
                <w:rFonts w:hint="default" w:ascii="Times New Roman" w:hAnsi="Times New Roman" w:cs="Times New Roman"/>
              </w:rPr>
              <w:t>2023年11月30日云南省第十四届人民代表大会常务委员会第六次会议通过的《云南省滇池保护条例》于2024年1月1日施行。</w:t>
            </w:r>
          </w:p>
          <w:p>
            <w:pPr>
              <w:pStyle w:val="42"/>
              <w:ind w:firstLine="482"/>
              <w:rPr>
                <w:rFonts w:hint="default" w:ascii="Times New Roman" w:hAnsi="Times New Roman" w:cs="Times New Roman"/>
              </w:rPr>
            </w:pPr>
            <w:r>
              <w:rPr>
                <w:rFonts w:hint="default" w:ascii="Times New Roman" w:hAnsi="Times New Roman" w:cs="Times New Roman"/>
              </w:rPr>
              <w:t>昆明市人民政府应当按照划定的湖滨生态红线和湖泊生态黄线，确定生态保护核心区、生态保护缓冲区和绿色发展区。</w:t>
            </w:r>
          </w:p>
          <w:p>
            <w:pPr>
              <w:pStyle w:val="42"/>
              <w:ind w:firstLine="482"/>
              <w:rPr>
                <w:rFonts w:hint="default" w:ascii="Times New Roman" w:hAnsi="Times New Roman" w:cs="Times New Roman"/>
              </w:rPr>
            </w:pPr>
            <w:r>
              <w:rPr>
                <w:rFonts w:hint="default" w:ascii="Times New Roman" w:hAnsi="Times New Roman" w:cs="Times New Roman"/>
              </w:rPr>
              <w:t>生态保护核心区是指湖滨生态红线以内的水域和陆域。</w:t>
            </w:r>
          </w:p>
          <w:p>
            <w:pPr>
              <w:pStyle w:val="42"/>
              <w:ind w:firstLine="482"/>
              <w:rPr>
                <w:rFonts w:hint="default" w:ascii="Times New Roman" w:hAnsi="Times New Roman" w:cs="Times New Roman"/>
              </w:rPr>
            </w:pPr>
            <w:r>
              <w:rPr>
                <w:rFonts w:hint="default" w:ascii="Times New Roman" w:hAnsi="Times New Roman" w:cs="Times New Roman"/>
              </w:rPr>
              <w:t>生态保护缓冲区是指湖滨生态红线与湖泊生态黄线之间的区域。</w:t>
            </w:r>
          </w:p>
          <w:p>
            <w:pPr>
              <w:pStyle w:val="42"/>
              <w:ind w:firstLine="482"/>
              <w:rPr>
                <w:rFonts w:hint="default" w:ascii="Times New Roman" w:hAnsi="Times New Roman" w:cs="Times New Roman"/>
              </w:rPr>
            </w:pPr>
            <w:r>
              <w:rPr>
                <w:rFonts w:hint="default" w:ascii="Times New Roman" w:hAnsi="Times New Roman" w:cs="Times New Roman"/>
              </w:rPr>
              <w:t>绿色发展区是指湖泊生态黄线与湖泊流域分水线之间的区域。</w:t>
            </w:r>
          </w:p>
          <w:p>
            <w:pPr>
              <w:pStyle w:val="42"/>
              <w:ind w:firstLine="482"/>
              <w:rPr>
                <w:rFonts w:hint="default" w:ascii="Times New Roman" w:hAnsi="Times New Roman" w:cs="Times New Roman"/>
              </w:rPr>
            </w:pPr>
            <w:r>
              <w:rPr>
                <w:rFonts w:hint="default" w:ascii="Times New Roman" w:hAnsi="Times New Roman" w:cs="Times New Roman"/>
              </w:rPr>
              <w:t>昆明市人民政府应当按照保护面积不减少、保护措施和保护标准从严的要求确定生态保护核心区、生态保护缓冲区和绿色发展区的具体范围，向社会公布，并在湖滨生态红线和湖泊生态黄线设置界桩、标识。</w:t>
            </w:r>
          </w:p>
          <w:p>
            <w:pPr>
              <w:pStyle w:val="42"/>
              <w:ind w:firstLine="482"/>
              <w:rPr>
                <w:rFonts w:hint="default" w:ascii="Times New Roman" w:hAnsi="Times New Roman" w:cs="Times New Roman"/>
              </w:rPr>
            </w:pPr>
            <w:r>
              <w:rPr>
                <w:rFonts w:hint="default" w:ascii="Times New Roman" w:hAnsi="Times New Roman" w:cs="Times New Roman"/>
              </w:rPr>
              <w:t>滇池入湖河道实行名录管理制度。入湖河道管控范围包括源头至入湖口（交汇口）的全河段，以湖滨生态红线为界实行分段保护管理。</w:t>
            </w:r>
          </w:p>
          <w:p>
            <w:pPr>
              <w:pStyle w:val="42"/>
              <w:ind w:firstLine="482"/>
              <w:rPr>
                <w:rFonts w:hint="default" w:ascii="Times New Roman" w:hAnsi="Times New Roman" w:cs="Times New Roman"/>
              </w:rPr>
            </w:pPr>
            <w:r>
              <w:rPr>
                <w:rFonts w:hint="default" w:ascii="Times New Roman" w:hAnsi="Times New Roman" w:cs="Times New Roman"/>
              </w:rPr>
              <w:t>滇池保护实行河（湖）长制，河（湖）长的设置、职责和工作机制按照有关规定执行。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本项目位于</w:t>
            </w:r>
            <w:r>
              <w:rPr>
                <w:rFonts w:hint="default" w:ascii="Times New Roman" w:hAnsi="Times New Roman" w:cs="Times New Roman" w:eastAsiaTheme="minorEastAsia"/>
                <w:color w:val="auto"/>
                <w:szCs w:val="21"/>
                <w:lang w:eastAsia="zh-CN"/>
              </w:rPr>
              <w:t>云南澄江产业园区提古片区</w:t>
            </w:r>
            <w:r>
              <w:rPr>
                <w:rFonts w:hint="default" w:ascii="Times New Roman" w:hAnsi="Times New Roman" w:cs="Times New Roman" w:eastAsiaTheme="minorEastAsia"/>
                <w:color w:val="auto"/>
                <w:szCs w:val="21"/>
              </w:rPr>
              <w:t>，项目西北侧厂界距离滇池约1</w:t>
            </w:r>
            <w:r>
              <w:rPr>
                <w:rFonts w:hint="default" w:ascii="Times New Roman" w:hAnsi="Times New Roman" w:cs="Times New Roman" w:eastAsiaTheme="minorEastAsia"/>
                <w:color w:val="auto"/>
                <w:szCs w:val="21"/>
                <w:lang w:val="en-US" w:eastAsia="zh-CN"/>
              </w:rPr>
              <w:t>1</w:t>
            </w:r>
            <w:r>
              <w:rPr>
                <w:rFonts w:hint="default" w:ascii="Times New Roman" w:hAnsi="Times New Roman" w:cs="Times New Roman" w:eastAsiaTheme="minorEastAsia"/>
                <w:color w:val="auto"/>
                <w:szCs w:val="21"/>
              </w:rPr>
              <w:t>km。根据滇池保护范围图叠图分析，本次规划的提古片区位于《云南省滇池保护条例》中的三级保护区范围内，本项目与滇池保护条例的相符性分析如下表所示。</w:t>
            </w:r>
          </w:p>
          <w:p>
            <w:pPr>
              <w:pStyle w:val="36"/>
              <w:bidi w:val="0"/>
              <w:rPr>
                <w:rFonts w:hint="default" w:ascii="Times New Roman" w:hAnsi="Times New Roman" w:cs="Times New Roman"/>
              </w:rPr>
            </w:pPr>
            <w:r>
              <w:rPr>
                <w:rFonts w:hint="default" w:ascii="Times New Roman" w:hAnsi="Times New Roman" w:cs="Times New Roman"/>
              </w:rPr>
              <w:t>表1-5项目与滇池保护条例符合性分析</w:t>
            </w:r>
          </w:p>
          <w:tbl>
            <w:tblPr>
              <w:tblStyle w:val="98"/>
              <w:tblpPr w:leftFromText="180" w:rightFromText="180" w:vertAnchor="text" w:tblpXSpec="left" w:tblpY="1"/>
              <w:tblOverlap w:val="never"/>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37"/>
              <w:gridCol w:w="3371"/>
              <w:gridCol w:w="2621"/>
              <w:gridCol w:w="7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32" w:type="pct"/>
                  <w:vAlign w:val="center"/>
                </w:tcPr>
                <w:p>
                  <w:pPr>
                    <w:pStyle w:val="40"/>
                    <w:bidi w:val="0"/>
                    <w:rPr>
                      <w:rFonts w:hint="default" w:ascii="Times New Roman" w:hAnsi="Times New Roman" w:cs="Times New Roman"/>
                    </w:rPr>
                  </w:pPr>
                  <w:r>
                    <w:rPr>
                      <w:rFonts w:hint="default" w:ascii="Times New Roman" w:hAnsi="Times New Roman" w:cs="Times New Roman"/>
                    </w:rPr>
                    <w:t>序号</w:t>
                  </w:r>
                </w:p>
              </w:tc>
              <w:tc>
                <w:tcPr>
                  <w:tcW w:w="2283" w:type="pct"/>
                  <w:vAlign w:val="center"/>
                </w:tcPr>
                <w:p>
                  <w:pPr>
                    <w:pStyle w:val="40"/>
                    <w:bidi w:val="0"/>
                    <w:rPr>
                      <w:rFonts w:hint="default" w:ascii="Times New Roman" w:hAnsi="Times New Roman" w:cs="Times New Roman"/>
                    </w:rPr>
                  </w:pPr>
                  <w:r>
                    <w:rPr>
                      <w:rFonts w:hint="default" w:ascii="Times New Roman" w:hAnsi="Times New Roman" w:cs="Times New Roman"/>
                    </w:rPr>
                    <w:t>云南省滇池保护条例</w:t>
                  </w:r>
                </w:p>
              </w:tc>
              <w:tc>
                <w:tcPr>
                  <w:tcW w:w="1775" w:type="pct"/>
                  <w:vAlign w:val="center"/>
                </w:tcPr>
                <w:p>
                  <w:pPr>
                    <w:pStyle w:val="40"/>
                    <w:bidi w:val="0"/>
                    <w:rPr>
                      <w:rFonts w:hint="default" w:ascii="Times New Roman" w:hAnsi="Times New Roman" w:cs="Times New Roman"/>
                    </w:rPr>
                  </w:pPr>
                  <w:r>
                    <w:rPr>
                      <w:rFonts w:hint="default" w:ascii="Times New Roman" w:hAnsi="Times New Roman" w:cs="Times New Roman"/>
                    </w:rPr>
                    <w:t>项目情况</w:t>
                  </w:r>
                </w:p>
              </w:tc>
              <w:tc>
                <w:tcPr>
                  <w:tcW w:w="508" w:type="pct"/>
                  <w:vAlign w:val="center"/>
                </w:tcPr>
                <w:p>
                  <w:pPr>
                    <w:pStyle w:val="40"/>
                    <w:bidi w:val="0"/>
                    <w:rPr>
                      <w:rFonts w:hint="default" w:ascii="Times New Roman" w:hAnsi="Times New Roman" w:cs="Times New Roman"/>
                    </w:rPr>
                  </w:pPr>
                  <w:r>
                    <w:rPr>
                      <w:rFonts w:hint="default" w:ascii="Times New Roman" w:hAnsi="Times New Roman" w:cs="Times New Roman"/>
                    </w:rPr>
                    <w:t>符合性</w:t>
                  </w:r>
                </w:p>
                <w:p>
                  <w:pPr>
                    <w:pStyle w:val="40"/>
                    <w:bidi w:val="0"/>
                    <w:rPr>
                      <w:rFonts w:hint="default" w:ascii="Times New Roman" w:hAnsi="Times New Roman" w:cs="Times New Roman"/>
                    </w:rPr>
                  </w:pPr>
                  <w:r>
                    <w:rPr>
                      <w:rFonts w:hint="default" w:ascii="Times New Roman" w:hAnsi="Times New Roman" w:cs="Times New Roman"/>
                    </w:rPr>
                    <w:t>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0" w:hRule="atLeast"/>
              </w:trPr>
              <w:tc>
                <w:tcPr>
                  <w:tcW w:w="432" w:type="pct"/>
                  <w:vAlign w:val="center"/>
                </w:tcPr>
                <w:p>
                  <w:pPr>
                    <w:pStyle w:val="40"/>
                    <w:bidi w:val="0"/>
                    <w:rPr>
                      <w:rFonts w:hint="default" w:ascii="Times New Roman" w:hAnsi="Times New Roman" w:cs="Times New Roman"/>
                    </w:rPr>
                  </w:pPr>
                  <w:r>
                    <w:rPr>
                      <w:rFonts w:hint="default" w:ascii="Times New Roman" w:hAnsi="Times New Roman" w:cs="Times New Roman"/>
                    </w:rPr>
                    <w:t>1</w:t>
                  </w:r>
                </w:p>
              </w:tc>
              <w:tc>
                <w:tcPr>
                  <w:tcW w:w="2283" w:type="pct"/>
                  <w:vAlign w:val="center"/>
                </w:tcPr>
                <w:p>
                  <w:pPr>
                    <w:pStyle w:val="40"/>
                    <w:bidi w:val="0"/>
                    <w:rPr>
                      <w:rFonts w:hint="default" w:ascii="Times New Roman" w:hAnsi="Times New Roman" w:cs="Times New Roman"/>
                    </w:rPr>
                  </w:pPr>
                  <w:r>
                    <w:rPr>
                      <w:rFonts w:hint="default" w:ascii="Times New Roman" w:hAnsi="Times New Roman" w:cs="Times New Roman"/>
                    </w:rPr>
                    <w:t>第二十六条绿色发展区应当控制开发利用强度、调整开发利用方式、实现流域保护和开发利用协调发展，以提升生态涵养功能、促进富民就业为重点，建设生态特色城镇和美丽乡村，构建绿色高质量发展的生产生活方式。</w:t>
                  </w:r>
                </w:p>
                <w:p>
                  <w:pPr>
                    <w:pStyle w:val="40"/>
                    <w:bidi w:val="0"/>
                    <w:rPr>
                      <w:rFonts w:hint="default" w:ascii="Times New Roman" w:hAnsi="Times New Roman" w:cs="Times New Roman"/>
                    </w:rPr>
                  </w:pPr>
                  <w:r>
                    <w:rPr>
                      <w:rFonts w:hint="default" w:ascii="Times New Roman" w:hAnsi="Times New Roman" w:cs="Times New Roman"/>
                    </w:rPr>
                    <w:t>严禁审批高污染、高耗水、高耗能项目，禁止在绿色发展区内新建、改建、扩建造纸、制革、印染、染料、炼焦、炼硫、炼砷、炼油、炼汞、电镀、化肥、农药、石棉、水泥、玻璃、冶金、火电等项目，以及直接向入湖河道排放氮、磷污染物的工业项目和严重污染环境、破坏生态的其他项目。现有高污染、高耗水、高耗能项目应当全部迁出滇池流域。</w:t>
                  </w:r>
                </w:p>
              </w:tc>
              <w:tc>
                <w:tcPr>
                  <w:tcW w:w="1775" w:type="pct"/>
                  <w:vAlign w:val="center"/>
                </w:tcPr>
                <w:p>
                  <w:pPr>
                    <w:pStyle w:val="45"/>
                    <w:keepNext w:val="0"/>
                    <w:keepLines w:val="0"/>
                    <w:pageBreakBefore w:val="0"/>
                    <w:wordWrap/>
                    <w:overflowPunct/>
                    <w:topLinePunct w:val="0"/>
                    <w:bidi w:val="0"/>
                    <w:spacing w:line="240" w:lineRule="auto"/>
                    <w:ind w:left="0" w:right="0" w:firstLine="0" w:firstLineChars="0"/>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食堂废水经</w:t>
                  </w:r>
                  <w:r>
                    <w:rPr>
                      <w:rFonts w:hint="eastAsia" w:ascii="Times New Roman" w:hAnsi="Times New Roman" w:cs="Times New Roman"/>
                      <w:b w:val="0"/>
                      <w:bCs/>
                      <w:color w:val="auto"/>
                      <w:sz w:val="21"/>
                      <w:szCs w:val="21"/>
                      <w:lang w:eastAsia="zh-CN"/>
                    </w:rPr>
                    <w:t>油水分离器</w:t>
                  </w:r>
                  <w:r>
                    <w:rPr>
                      <w:rFonts w:hint="default" w:ascii="Times New Roman" w:hAnsi="Times New Roman" w:cs="Times New Roman"/>
                      <w:b w:val="0"/>
                      <w:bCs/>
                      <w:color w:val="auto"/>
                      <w:sz w:val="21"/>
                      <w:szCs w:val="21"/>
                    </w:rPr>
                    <w:t>处理后与其他生活污水一起排入依托</w:t>
                  </w:r>
                  <w:r>
                    <w:rPr>
                      <w:rFonts w:hint="default" w:ascii="Times New Roman" w:hAnsi="Times New Roman" w:cs="Times New Roman"/>
                      <w:b w:val="0"/>
                      <w:bCs/>
                      <w:color w:val="auto"/>
                      <w:sz w:val="21"/>
                      <w:szCs w:val="21"/>
                      <w:lang w:eastAsia="zh-CN"/>
                    </w:rPr>
                    <w:t>云南鑫成鹏高分子科技有限公司</w:t>
                  </w:r>
                  <w:r>
                    <w:rPr>
                      <w:rFonts w:hint="default" w:ascii="Times New Roman" w:hAnsi="Times New Roman" w:cs="Times New Roman"/>
                      <w:b w:val="0"/>
                      <w:bCs/>
                      <w:color w:val="auto"/>
                      <w:sz w:val="21"/>
                      <w:szCs w:val="21"/>
                      <w:lang w:val="en-US" w:eastAsia="zh-CN"/>
                    </w:rPr>
                    <w:t>3号</w:t>
                  </w:r>
                  <w:r>
                    <w:rPr>
                      <w:rFonts w:hint="default" w:ascii="Times New Roman" w:hAnsi="Times New Roman" w:cs="Times New Roman"/>
                      <w:b w:val="0"/>
                      <w:bCs/>
                      <w:color w:val="auto"/>
                      <w:sz w:val="21"/>
                      <w:szCs w:val="21"/>
                    </w:rPr>
                    <w:t>厂房的化粪池处理后，最终进入</w:t>
                  </w:r>
                  <w:r>
                    <w:rPr>
                      <w:rFonts w:hint="default" w:ascii="Times New Roman" w:hAnsi="Times New Roman" w:cs="Times New Roman"/>
                      <w:b w:val="0"/>
                      <w:bCs/>
                      <w:color w:val="auto"/>
                      <w:sz w:val="21"/>
                      <w:szCs w:val="21"/>
                      <w:lang w:eastAsia="zh-CN"/>
                    </w:rPr>
                    <w:t>云南鑫成鹏高分子科技有限公司</w:t>
                  </w:r>
                  <w:r>
                    <w:rPr>
                      <w:rFonts w:hint="default" w:ascii="Times New Roman" w:hAnsi="Times New Roman" w:cs="Times New Roman"/>
                      <w:b w:val="0"/>
                      <w:bCs/>
                      <w:color w:val="auto"/>
                      <w:sz w:val="21"/>
                      <w:szCs w:val="21"/>
                    </w:rPr>
                    <w:t>自建的一体化污水处理设施处理达标后晴天回用于</w:t>
                  </w:r>
                  <w:r>
                    <w:rPr>
                      <w:rFonts w:hint="default" w:ascii="Times New Roman" w:hAnsi="Times New Roman" w:cs="Times New Roman"/>
                      <w:b w:val="0"/>
                      <w:bCs/>
                      <w:color w:val="auto"/>
                      <w:sz w:val="21"/>
                      <w:szCs w:val="21"/>
                      <w:lang w:eastAsia="zh-CN"/>
                    </w:rPr>
                    <w:t>云南鑫成鹏高分子科技有限公司</w:t>
                  </w:r>
                  <w:r>
                    <w:rPr>
                      <w:rFonts w:hint="default" w:ascii="Times New Roman" w:hAnsi="Times New Roman" w:cs="Times New Roman"/>
                      <w:b w:val="0"/>
                      <w:bCs/>
                      <w:color w:val="auto"/>
                      <w:sz w:val="21"/>
                      <w:szCs w:val="21"/>
                    </w:rPr>
                    <w:t>的绿化及道路洒水降尘，不外排，雨天暂存于回用水池。</w:t>
                  </w:r>
                </w:p>
                <w:p>
                  <w:pPr>
                    <w:pStyle w:val="40"/>
                    <w:bidi w:val="0"/>
                    <w:rPr>
                      <w:rFonts w:hint="default" w:ascii="Times New Roman" w:hAnsi="Times New Roman" w:cs="Times New Roman"/>
                    </w:rPr>
                  </w:pPr>
                  <w:r>
                    <w:rPr>
                      <w:rFonts w:hint="default" w:ascii="Times New Roman" w:hAnsi="Times New Roman" w:cs="Times New Roman"/>
                      <w:color w:val="auto"/>
                      <w:sz w:val="21"/>
                      <w:szCs w:val="21"/>
                    </w:rPr>
                    <w:t>项目的主要生产用水为中空玻璃的清洗用水（不添加任何清洗剂）清洗废水流入机器自带的沉淀槽经静置沉淀后，</w:t>
                  </w:r>
                  <w:r>
                    <w:rPr>
                      <w:rFonts w:hint="default" w:ascii="Times New Roman" w:hAnsi="Times New Roman" w:cs="Times New Roman"/>
                      <w:color w:val="auto"/>
                      <w:sz w:val="21"/>
                      <w:szCs w:val="21"/>
                      <w:lang w:eastAsia="zh-CN"/>
                    </w:rPr>
                    <w:t>清洗水循环回用定期更换清洗废水，不外排</w:t>
                  </w:r>
                  <w:r>
                    <w:rPr>
                      <w:rFonts w:hint="default" w:ascii="Times New Roman" w:hAnsi="Times New Roman" w:cs="Times New Roman"/>
                    </w:rPr>
                    <w:t>。本项目用水量较少，不属于高耗水项目，主要能源为电能，不属于高耗能项目，符合《云南省滇池保护条例》的相关规定。</w:t>
                  </w:r>
                </w:p>
              </w:tc>
              <w:tc>
                <w:tcPr>
                  <w:tcW w:w="508" w:type="pct"/>
                  <w:vAlign w:val="center"/>
                </w:tcPr>
                <w:p>
                  <w:pPr>
                    <w:pStyle w:val="40"/>
                    <w:bidi w:val="0"/>
                    <w:rPr>
                      <w:rFonts w:hint="default" w:ascii="Times New Roman" w:hAnsi="Times New Roman" w:cs="Times New Roman"/>
                    </w:rPr>
                  </w:pPr>
                  <w:r>
                    <w:rPr>
                      <w:rFonts w:hint="default" w:ascii="Times New Roman" w:hAnsi="Times New Roman" w:cs="Times New Roma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432" w:type="pct"/>
                  <w:vAlign w:val="center"/>
                </w:tcPr>
                <w:p>
                  <w:pPr>
                    <w:pStyle w:val="40"/>
                    <w:bidi w:val="0"/>
                    <w:rPr>
                      <w:rFonts w:hint="default" w:ascii="Times New Roman" w:hAnsi="Times New Roman" w:cs="Times New Roman"/>
                    </w:rPr>
                  </w:pPr>
                </w:p>
                <w:p>
                  <w:pPr>
                    <w:pStyle w:val="40"/>
                    <w:bidi w:val="0"/>
                    <w:rPr>
                      <w:rFonts w:hint="default" w:ascii="Times New Roman" w:hAnsi="Times New Roman" w:cs="Times New Roman"/>
                    </w:rPr>
                  </w:pPr>
                </w:p>
                <w:p>
                  <w:pPr>
                    <w:pStyle w:val="40"/>
                    <w:bidi w:val="0"/>
                    <w:rPr>
                      <w:rFonts w:hint="default" w:ascii="Times New Roman" w:hAnsi="Times New Roman" w:cs="Times New Roman"/>
                    </w:rPr>
                  </w:pPr>
                </w:p>
                <w:p>
                  <w:pPr>
                    <w:pStyle w:val="40"/>
                    <w:bidi w:val="0"/>
                    <w:rPr>
                      <w:rFonts w:hint="default" w:ascii="Times New Roman" w:hAnsi="Times New Roman" w:cs="Times New Roman"/>
                    </w:rPr>
                  </w:pPr>
                </w:p>
                <w:p>
                  <w:pPr>
                    <w:pStyle w:val="40"/>
                    <w:bidi w:val="0"/>
                    <w:rPr>
                      <w:rFonts w:hint="default" w:ascii="Times New Roman" w:hAnsi="Times New Roman" w:cs="Times New Roman"/>
                    </w:rPr>
                  </w:pPr>
                  <w:r>
                    <w:rPr>
                      <w:rFonts w:hint="default" w:ascii="Times New Roman" w:hAnsi="Times New Roman" w:cs="Times New Roman"/>
                    </w:rPr>
                    <w:t>2</w:t>
                  </w:r>
                </w:p>
              </w:tc>
              <w:tc>
                <w:tcPr>
                  <w:tcW w:w="2283" w:type="pct"/>
                  <w:vAlign w:val="center"/>
                </w:tcPr>
                <w:p>
                  <w:pPr>
                    <w:pStyle w:val="40"/>
                    <w:bidi w:val="0"/>
                    <w:rPr>
                      <w:rFonts w:hint="default" w:ascii="Times New Roman" w:hAnsi="Times New Roman" w:cs="Times New Roman"/>
                    </w:rPr>
                  </w:pPr>
                  <w:r>
                    <w:rPr>
                      <w:rFonts w:hint="default" w:ascii="Times New Roman" w:hAnsi="Times New Roman" w:cs="Times New Roman"/>
                    </w:rPr>
                    <w:t>绿色发展区禁止下列行为：</w:t>
                  </w:r>
                </w:p>
                <w:p>
                  <w:pPr>
                    <w:pStyle w:val="40"/>
                    <w:bidi w:val="0"/>
                    <w:rPr>
                      <w:rFonts w:hint="default" w:ascii="Times New Roman" w:hAnsi="Times New Roman" w:cs="Times New Roman"/>
                    </w:rPr>
                  </w:pPr>
                  <w:r>
                    <w:rPr>
                      <w:rFonts w:hint="default" w:ascii="Times New Roman" w:hAnsi="Times New Roman" w:cs="Times New Roman"/>
                    </w:rPr>
                    <w:t>（一）利用渗井、渗坑、裂隙、溶洞，私设暗管，篡改、伪造监测数据，或者不正常运行水污染防治设施等逃避监管的方式排放水污染物；</w:t>
                  </w:r>
                </w:p>
                <w:p>
                  <w:pPr>
                    <w:pStyle w:val="40"/>
                    <w:bidi w:val="0"/>
                    <w:rPr>
                      <w:rFonts w:hint="default" w:ascii="Times New Roman" w:hAnsi="Times New Roman" w:cs="Times New Roman"/>
                    </w:rPr>
                  </w:pPr>
                  <w:r>
                    <w:rPr>
                      <w:rFonts w:hint="default" w:ascii="Times New Roman" w:hAnsi="Times New Roman" w:cs="Times New Roman"/>
                    </w:rPr>
                    <w:t>（二）未按照规定进行预处理，向污水集中处理设施排放不符合处理工艺要求的工业废水；</w:t>
                  </w:r>
                </w:p>
                <w:p>
                  <w:pPr>
                    <w:pStyle w:val="40"/>
                    <w:bidi w:val="0"/>
                    <w:rPr>
                      <w:rFonts w:hint="default" w:ascii="Times New Roman" w:hAnsi="Times New Roman" w:cs="Times New Roman"/>
                    </w:rPr>
                  </w:pPr>
                  <w:r>
                    <w:rPr>
                      <w:rFonts w:hint="default" w:ascii="Times New Roman" w:hAnsi="Times New Roman" w:cs="Times New Roman"/>
                    </w:rPr>
                    <w:t>（三）向水体排放剧毒废液，或者将含有汞、镉、砷、铬、铅、氰化物、黄磷等的可溶性剧毒废渣向水体排放、倾倒或者直接埋入地下；</w:t>
                  </w:r>
                </w:p>
                <w:p>
                  <w:pPr>
                    <w:pStyle w:val="40"/>
                    <w:bidi w:val="0"/>
                    <w:rPr>
                      <w:rFonts w:hint="default" w:ascii="Times New Roman" w:hAnsi="Times New Roman" w:cs="Times New Roman"/>
                    </w:rPr>
                  </w:pPr>
                  <w:r>
                    <w:rPr>
                      <w:rFonts w:hint="default" w:ascii="Times New Roman" w:hAnsi="Times New Roman" w:cs="Times New Roman"/>
                    </w:rPr>
                    <w:t>（四）未按照规定采取防护性措施，或者利用无防渗漏措施的沟渠、坑塘等输送或者存贮含有毒污染物的废水、含病原体的污水或者其他废弃物；</w:t>
                  </w:r>
                </w:p>
                <w:p>
                  <w:pPr>
                    <w:pStyle w:val="40"/>
                    <w:bidi w:val="0"/>
                    <w:rPr>
                      <w:rFonts w:hint="default" w:ascii="Times New Roman" w:hAnsi="Times New Roman" w:cs="Times New Roman"/>
                    </w:rPr>
                  </w:pPr>
                  <w:r>
                    <w:rPr>
                      <w:rFonts w:hint="default" w:ascii="Times New Roman" w:hAnsi="Times New Roman" w:cs="Times New Roman"/>
                    </w:rPr>
                    <w:t>（五）向水体排放、倾倒工业废渣、城镇垃圾或者其他废弃物；</w:t>
                  </w:r>
                </w:p>
                <w:p>
                  <w:pPr>
                    <w:pStyle w:val="40"/>
                    <w:bidi w:val="0"/>
                    <w:rPr>
                      <w:rFonts w:hint="default" w:ascii="Times New Roman" w:hAnsi="Times New Roman" w:cs="Times New Roman"/>
                    </w:rPr>
                  </w:pPr>
                  <w:r>
                    <w:rPr>
                      <w:rFonts w:hint="default" w:ascii="Times New Roman" w:hAnsi="Times New Roman" w:cs="Times New Roman"/>
                    </w:rPr>
                    <w:t>（六）超过水污染物排放标准或者超过重点水污染物排放总量控制指标排放水污染物；</w:t>
                  </w:r>
                </w:p>
                <w:p>
                  <w:pPr>
                    <w:pStyle w:val="40"/>
                    <w:bidi w:val="0"/>
                    <w:rPr>
                      <w:rFonts w:hint="default" w:ascii="Times New Roman" w:hAnsi="Times New Roman" w:cs="Times New Roman"/>
                    </w:rPr>
                  </w:pPr>
                  <w:r>
                    <w:rPr>
                      <w:rFonts w:hint="default" w:ascii="Times New Roman" w:hAnsi="Times New Roman" w:cs="Times New Roman"/>
                    </w:rPr>
                    <w:t>（七）擅自取水或者违反取水许可规定取水；</w:t>
                  </w:r>
                </w:p>
                <w:p>
                  <w:pPr>
                    <w:pStyle w:val="40"/>
                    <w:bidi w:val="0"/>
                    <w:rPr>
                      <w:rFonts w:hint="default" w:ascii="Times New Roman" w:hAnsi="Times New Roman" w:cs="Times New Roman"/>
                    </w:rPr>
                  </w:pPr>
                  <w:r>
                    <w:rPr>
                      <w:rFonts w:hint="default" w:ascii="Times New Roman" w:hAnsi="Times New Roman" w:cs="Times New Roman"/>
                    </w:rPr>
                    <w:t>（八）违法砍伐林木；</w:t>
                  </w:r>
                </w:p>
                <w:p>
                  <w:pPr>
                    <w:pStyle w:val="40"/>
                    <w:bidi w:val="0"/>
                    <w:rPr>
                      <w:rFonts w:hint="default" w:ascii="Times New Roman" w:hAnsi="Times New Roman" w:cs="Times New Roman"/>
                    </w:rPr>
                  </w:pPr>
                  <w:r>
                    <w:rPr>
                      <w:rFonts w:hint="default" w:ascii="Times New Roman" w:hAnsi="Times New Roman" w:cs="Times New Roman"/>
                    </w:rPr>
                    <w:t>（九）违法开垦、占用林地；</w:t>
                  </w:r>
                </w:p>
                <w:p>
                  <w:pPr>
                    <w:pStyle w:val="40"/>
                    <w:bidi w:val="0"/>
                    <w:rPr>
                      <w:rFonts w:hint="default" w:ascii="Times New Roman" w:hAnsi="Times New Roman" w:cs="Times New Roman"/>
                    </w:rPr>
                  </w:pPr>
                  <w:r>
                    <w:rPr>
                      <w:rFonts w:hint="default" w:ascii="Times New Roman" w:hAnsi="Times New Roman" w:cs="Times New Roman"/>
                    </w:rPr>
                    <w:t>（十）违法猎捕、杀害、买卖野生动物；</w:t>
                  </w:r>
                </w:p>
                <w:p>
                  <w:pPr>
                    <w:pStyle w:val="40"/>
                    <w:bidi w:val="0"/>
                    <w:rPr>
                      <w:rFonts w:hint="default" w:ascii="Times New Roman" w:hAnsi="Times New Roman" w:cs="Times New Roman"/>
                    </w:rPr>
                  </w:pPr>
                  <w:r>
                    <w:rPr>
                      <w:rFonts w:hint="default" w:ascii="Times New Roman" w:hAnsi="Times New Roman" w:cs="Times New Roman"/>
                    </w:rPr>
                    <w:t>（十一）损毁或者擅自移动界桩、标识；</w:t>
                  </w:r>
                </w:p>
                <w:p>
                  <w:pPr>
                    <w:pStyle w:val="40"/>
                    <w:bidi w:val="0"/>
                    <w:rPr>
                      <w:rFonts w:hint="default" w:ascii="Times New Roman" w:hAnsi="Times New Roman" w:cs="Times New Roman"/>
                    </w:rPr>
                  </w:pPr>
                  <w:r>
                    <w:rPr>
                      <w:rFonts w:hint="default" w:ascii="Times New Roman" w:hAnsi="Times New Roman" w:cs="Times New Roman"/>
                    </w:rPr>
                    <w:t>（十二）生产、销售、使用含磷洗涤用品、国家明令禁止或者明令淘汰的一次性发泡塑料餐具、塑料袋等塑料制品；</w:t>
                  </w:r>
                </w:p>
                <w:p>
                  <w:pPr>
                    <w:pStyle w:val="40"/>
                    <w:bidi w:val="0"/>
                    <w:rPr>
                      <w:rFonts w:hint="default" w:ascii="Times New Roman" w:hAnsi="Times New Roman" w:cs="Times New Roman"/>
                    </w:rPr>
                  </w:pPr>
                  <w:r>
                    <w:rPr>
                      <w:rFonts w:hint="default" w:ascii="Times New Roman" w:hAnsi="Times New Roman" w:cs="Times New Roman"/>
                    </w:rPr>
                    <w:t>（十三）擅自填堵、覆盖河道，侵占河床、河堤，改变河道走向；</w:t>
                  </w:r>
                </w:p>
                <w:p>
                  <w:pPr>
                    <w:pStyle w:val="40"/>
                    <w:bidi w:val="0"/>
                    <w:rPr>
                      <w:rFonts w:hint="default" w:ascii="Times New Roman" w:hAnsi="Times New Roman" w:cs="Times New Roman"/>
                    </w:rPr>
                  </w:pPr>
                  <w:r>
                    <w:rPr>
                      <w:rFonts w:hint="default" w:ascii="Times New Roman" w:hAnsi="Times New Roman" w:cs="Times New Roman"/>
                    </w:rPr>
                    <w:t>（十四）使用禁用的渔具、捕捞方法或者不符合规定的网具捕捞；</w:t>
                  </w:r>
                </w:p>
                <w:p>
                  <w:pPr>
                    <w:pStyle w:val="40"/>
                    <w:bidi w:val="0"/>
                    <w:rPr>
                      <w:rFonts w:hint="default" w:ascii="Times New Roman" w:hAnsi="Times New Roman" w:cs="Times New Roman"/>
                    </w:rPr>
                  </w:pPr>
                  <w:r>
                    <w:rPr>
                      <w:rFonts w:hint="default" w:ascii="Times New Roman" w:hAnsi="Times New Roman" w:cs="Times New Roman"/>
                    </w:rPr>
                    <w:t>（十五）法律法规禁止的其他行为。</w:t>
                  </w:r>
                </w:p>
              </w:tc>
              <w:tc>
                <w:tcPr>
                  <w:tcW w:w="1775" w:type="pct"/>
                  <w:vAlign w:val="center"/>
                </w:tcPr>
                <w:p>
                  <w:pPr>
                    <w:pStyle w:val="40"/>
                    <w:bidi w:val="0"/>
                    <w:rPr>
                      <w:rFonts w:hint="default" w:ascii="Times New Roman" w:hAnsi="Times New Roman" w:cs="Times New Roman"/>
                      <w:lang w:eastAsia="zh-CN"/>
                    </w:rPr>
                  </w:pPr>
                  <w:r>
                    <w:rPr>
                      <w:rFonts w:hint="default" w:ascii="Times New Roman" w:hAnsi="Times New Roman" w:cs="Times New Roman"/>
                    </w:rPr>
                    <w:t>项目区最近的地表水体为</w:t>
                  </w:r>
                  <w:r>
                    <w:rPr>
                      <w:rFonts w:hint="default" w:ascii="Times New Roman" w:hAnsi="Times New Roman" w:cs="Times New Roman" w:eastAsiaTheme="minorEastAsia"/>
                      <w:color w:val="auto"/>
                      <w:szCs w:val="21"/>
                      <w:lang w:val="en-US" w:eastAsia="zh-CN"/>
                    </w:rPr>
                    <w:t>梁王河</w:t>
                  </w:r>
                  <w:r>
                    <w:rPr>
                      <w:rFonts w:hint="default" w:ascii="Times New Roman" w:hAnsi="Times New Roman" w:cs="Times New Roman"/>
                    </w:rPr>
                    <w:t>，本项目地面已采取硬化措施，采用雨污分流制，雨水经厂区雨水管道收集后，排入园区雨水管网。</w:t>
                  </w:r>
                  <w:r>
                    <w:rPr>
                      <w:rFonts w:hint="default" w:ascii="Times New Roman" w:hAnsi="Times New Roman" w:cs="Times New Roman"/>
                      <w:color w:val="auto"/>
                      <w:sz w:val="21"/>
                      <w:szCs w:val="21"/>
                    </w:rPr>
                    <w:t>食堂废水经</w:t>
                  </w:r>
                  <w:r>
                    <w:rPr>
                      <w:rFonts w:hint="eastAsia" w:cs="Times New Roman"/>
                      <w:color w:val="auto"/>
                      <w:sz w:val="21"/>
                      <w:szCs w:val="21"/>
                      <w:lang w:eastAsia="zh-CN"/>
                    </w:rPr>
                    <w:t>油水分离器</w:t>
                  </w:r>
                  <w:r>
                    <w:rPr>
                      <w:rFonts w:hint="default" w:ascii="Times New Roman" w:hAnsi="Times New Roman" w:cs="Times New Roman"/>
                      <w:color w:val="auto"/>
                      <w:sz w:val="21"/>
                      <w:szCs w:val="21"/>
                    </w:rPr>
                    <w:t>处理后与其他生活污水一起排入依托</w:t>
                  </w:r>
                  <w:r>
                    <w:rPr>
                      <w:rFonts w:hint="default" w:ascii="Times New Roman" w:hAnsi="Times New Roman" w:cs="Times New Roman"/>
                      <w:color w:val="auto"/>
                      <w:sz w:val="21"/>
                      <w:szCs w:val="21"/>
                      <w:lang w:eastAsia="zh-CN"/>
                    </w:rPr>
                    <w:t>云南鑫成鹏高分子科技有限公司</w:t>
                  </w:r>
                  <w:r>
                    <w:rPr>
                      <w:rFonts w:hint="default" w:ascii="Times New Roman" w:hAnsi="Times New Roman" w:cs="Times New Roman"/>
                      <w:color w:val="auto"/>
                      <w:sz w:val="21"/>
                      <w:szCs w:val="21"/>
                      <w:lang w:val="en-US" w:eastAsia="zh-CN"/>
                    </w:rPr>
                    <w:t>3号</w:t>
                  </w:r>
                  <w:r>
                    <w:rPr>
                      <w:rFonts w:hint="default" w:ascii="Times New Roman" w:hAnsi="Times New Roman" w:cs="Times New Roman"/>
                      <w:color w:val="auto"/>
                      <w:sz w:val="21"/>
                      <w:szCs w:val="21"/>
                    </w:rPr>
                    <w:t>厂房的化粪池处理后，最终进入</w:t>
                  </w:r>
                  <w:r>
                    <w:rPr>
                      <w:rFonts w:hint="default" w:ascii="Times New Roman" w:hAnsi="Times New Roman" w:cs="Times New Roman"/>
                      <w:color w:val="auto"/>
                      <w:sz w:val="21"/>
                      <w:szCs w:val="21"/>
                      <w:lang w:eastAsia="zh-CN"/>
                    </w:rPr>
                    <w:t>云南鑫成鹏高分子科技有限公司</w:t>
                  </w:r>
                  <w:r>
                    <w:rPr>
                      <w:rFonts w:hint="default" w:ascii="Times New Roman" w:hAnsi="Times New Roman" w:cs="Times New Roman"/>
                      <w:color w:val="auto"/>
                      <w:sz w:val="21"/>
                      <w:szCs w:val="21"/>
                    </w:rPr>
                    <w:t>自建的一体化污水处理设施处理达标后晴天回用于</w:t>
                  </w:r>
                  <w:r>
                    <w:rPr>
                      <w:rFonts w:hint="default" w:ascii="Times New Roman" w:hAnsi="Times New Roman" w:cs="Times New Roman"/>
                      <w:color w:val="auto"/>
                      <w:sz w:val="21"/>
                      <w:szCs w:val="21"/>
                      <w:lang w:eastAsia="zh-CN"/>
                    </w:rPr>
                    <w:t>云南鑫成鹏高分子科技有限公司</w:t>
                  </w:r>
                  <w:r>
                    <w:rPr>
                      <w:rFonts w:hint="default" w:ascii="Times New Roman" w:hAnsi="Times New Roman" w:cs="Times New Roman"/>
                      <w:color w:val="auto"/>
                      <w:sz w:val="21"/>
                      <w:szCs w:val="21"/>
                    </w:rPr>
                    <w:t>的绿化及道路洒水降尘，不外排</w:t>
                  </w:r>
                  <w:r>
                    <w:rPr>
                      <w:rFonts w:hint="default" w:ascii="Times New Roman" w:hAnsi="Times New Roman" w:cs="Times New Roman"/>
                      <w:lang w:eastAsia="zh-CN"/>
                    </w:rPr>
                    <w:t>。</w:t>
                  </w:r>
                </w:p>
                <w:p>
                  <w:pPr>
                    <w:pStyle w:val="40"/>
                    <w:bidi w:val="0"/>
                    <w:rPr>
                      <w:rFonts w:hint="default" w:ascii="Times New Roman" w:hAnsi="Times New Roman" w:cs="Times New Roman"/>
                    </w:rPr>
                  </w:pPr>
                  <w:r>
                    <w:rPr>
                      <w:rFonts w:hint="default" w:ascii="Times New Roman" w:hAnsi="Times New Roman" w:cs="Times New Roman"/>
                    </w:rPr>
                    <w:t>项目运营期产生的生活垃圾、餐饮垃圾、</w:t>
                  </w:r>
                  <w:r>
                    <w:rPr>
                      <w:rFonts w:hint="eastAsia" w:cs="Times New Roman"/>
                      <w:lang w:eastAsia="zh-CN"/>
                    </w:rPr>
                    <w:t>油水分离器</w:t>
                  </w:r>
                  <w:r>
                    <w:rPr>
                      <w:rFonts w:hint="default" w:ascii="Times New Roman" w:hAnsi="Times New Roman" w:cs="Times New Roman"/>
                    </w:rPr>
                    <w:t>油污、化粪池污泥、一体化污水处理设施交与云南鑫成鹏高分子科技有限公司一同委托环卫部门定期清掏和清运处置。玻璃次品、包装固废外售废品回收站</w:t>
                  </w:r>
                  <w:r>
                    <w:rPr>
                      <w:rFonts w:hint="default" w:ascii="Times New Roman" w:hAnsi="Times New Roman" w:cs="Times New Roman"/>
                      <w:lang w:eastAsia="zh-CN"/>
                    </w:rPr>
                    <w:t>，</w:t>
                  </w:r>
                  <w:r>
                    <w:rPr>
                      <w:rFonts w:hint="default" w:ascii="Times New Roman" w:hAnsi="Times New Roman" w:cs="Times New Roman"/>
                    </w:rPr>
                    <w:t>废弃密封胶桶</w:t>
                  </w:r>
                  <w:r>
                    <w:rPr>
                      <w:rFonts w:hint="default" w:ascii="Times New Roman" w:hAnsi="Times New Roman" w:cs="Times New Roman"/>
                      <w:lang w:eastAsia="zh-CN"/>
                    </w:rPr>
                    <w:t>、</w:t>
                  </w:r>
                  <w:r>
                    <w:rPr>
                      <w:rFonts w:hint="default" w:ascii="Times New Roman" w:hAnsi="Times New Roman" w:cs="Times New Roman"/>
                    </w:rPr>
                    <w:t>废活性炭、废润滑油、废润滑油桶委托</w:t>
                  </w:r>
                  <w:r>
                    <w:rPr>
                      <w:rFonts w:hint="default" w:ascii="Times New Roman" w:hAnsi="Times New Roman" w:cs="Times New Roman"/>
                      <w:lang w:eastAsia="zh-CN"/>
                    </w:rPr>
                    <w:t>有资质单位清运处置</w:t>
                  </w:r>
                  <w:r>
                    <w:rPr>
                      <w:rFonts w:hint="default" w:ascii="Times New Roman" w:hAnsi="Times New Roman" w:cs="Times New Roman"/>
                    </w:rPr>
                    <w:t>。不涉及《滇池保护条例》中的禁止行为。</w:t>
                  </w:r>
                </w:p>
              </w:tc>
              <w:tc>
                <w:tcPr>
                  <w:tcW w:w="508" w:type="pct"/>
                  <w:vAlign w:val="center"/>
                </w:tcPr>
                <w:p>
                  <w:pPr>
                    <w:pStyle w:val="40"/>
                    <w:bidi w:val="0"/>
                    <w:rPr>
                      <w:rFonts w:hint="default" w:ascii="Times New Roman" w:hAnsi="Times New Roman" w:cs="Times New Roman"/>
                    </w:rPr>
                  </w:pPr>
                </w:p>
                <w:p>
                  <w:pPr>
                    <w:pStyle w:val="40"/>
                    <w:bidi w:val="0"/>
                    <w:rPr>
                      <w:rFonts w:hint="default" w:ascii="Times New Roman" w:hAnsi="Times New Roman" w:cs="Times New Roman"/>
                    </w:rPr>
                  </w:pPr>
                </w:p>
                <w:p>
                  <w:pPr>
                    <w:pStyle w:val="40"/>
                    <w:bidi w:val="0"/>
                    <w:rPr>
                      <w:rFonts w:hint="default" w:ascii="Times New Roman" w:hAnsi="Times New Roman" w:cs="Times New Roman"/>
                    </w:rPr>
                  </w:pPr>
                </w:p>
                <w:p>
                  <w:pPr>
                    <w:pStyle w:val="40"/>
                    <w:bidi w:val="0"/>
                    <w:rPr>
                      <w:rFonts w:hint="default" w:ascii="Times New Roman" w:hAnsi="Times New Roman" w:cs="Times New Roman"/>
                    </w:rPr>
                  </w:pPr>
                </w:p>
                <w:p>
                  <w:pPr>
                    <w:pStyle w:val="40"/>
                    <w:bidi w:val="0"/>
                    <w:rPr>
                      <w:rFonts w:hint="default" w:ascii="Times New Roman" w:hAnsi="Times New Roman" w:cs="Times New Roman"/>
                    </w:rPr>
                  </w:pPr>
                  <w:r>
                    <w:rPr>
                      <w:rFonts w:hint="default" w:ascii="Times New Roman" w:hAnsi="Times New Roman" w:cs="Times New Roma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2" w:hRule="atLeast"/>
              </w:trPr>
              <w:tc>
                <w:tcPr>
                  <w:tcW w:w="432" w:type="pct"/>
                  <w:vAlign w:val="center"/>
                </w:tcPr>
                <w:p>
                  <w:pPr>
                    <w:pStyle w:val="40"/>
                    <w:bidi w:val="0"/>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2283" w:type="pct"/>
                  <w:vAlign w:val="center"/>
                </w:tcPr>
                <w:p>
                  <w:pPr>
                    <w:pStyle w:val="40"/>
                    <w:bidi w:val="0"/>
                    <w:rPr>
                      <w:rFonts w:hint="default" w:ascii="Times New Roman" w:hAnsi="Times New Roman" w:cs="Times New Roman"/>
                    </w:rPr>
                  </w:pPr>
                  <w:r>
                    <w:rPr>
                      <w:rFonts w:hint="default" w:ascii="Times New Roman" w:hAnsi="Times New Roman" w:cs="Times New Roman"/>
                    </w:rPr>
                    <w:t>第四十三条有关县级人民政府、乡（镇）人民政府、街道办事处应当采取有效措施，调整优化农业种植结构，转变农业生产方式，推广环境友好型农业，实现化肥、农药减量增效和农业废弃物资源化利用，推进农田退水循环利用，有效防治农业面源污染。</w:t>
                  </w:r>
                </w:p>
                <w:p>
                  <w:pPr>
                    <w:pStyle w:val="40"/>
                    <w:bidi w:val="0"/>
                    <w:rPr>
                      <w:rFonts w:hint="default" w:ascii="Times New Roman" w:hAnsi="Times New Roman" w:cs="Times New Roman"/>
                    </w:rPr>
                  </w:pPr>
                  <w:r>
                    <w:rPr>
                      <w:rFonts w:hint="default" w:ascii="Times New Roman" w:hAnsi="Times New Roman" w:cs="Times New Roman"/>
                    </w:rPr>
                    <w:t>生态保护核心区全面禁止畜禽养殖；生态保护缓冲区全面禁止畜禽规模养殖，对畜禽非规模养殖实行严格管理，禁止排放污染物；绿色发展区禁止直接排放畜禽粪污，不得新增畜禽规模养殖、生猪定点屠宰厂（场）。生态保护核心区禁止大棚种植，禁施农药和化肥，严控农田污染物进入滇池；生态保护缓冲区和绿色发展区全面优化种植产业结构，发展绿色生态农业，控制和减少农药及化肥使用量，严禁经营使用国家规定的禁止使用类、限制使用类农药，鼓励轮作休耕。</w:t>
                  </w:r>
                </w:p>
              </w:tc>
              <w:tc>
                <w:tcPr>
                  <w:tcW w:w="1775" w:type="pct"/>
                  <w:vAlign w:val="center"/>
                </w:tcPr>
                <w:p>
                  <w:pPr>
                    <w:pStyle w:val="40"/>
                    <w:bidi w:val="0"/>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lang w:val="en-US" w:eastAsia="zh-CN"/>
                    </w:rPr>
                    <w:t>中空玻璃生产项目</w:t>
                  </w:r>
                  <w:r>
                    <w:rPr>
                      <w:rFonts w:hint="default" w:ascii="Times New Roman" w:hAnsi="Times New Roman" w:cs="Times New Roman"/>
                    </w:rPr>
                    <w:t>。不属于养殖、生猪定点屠宰场。</w:t>
                  </w:r>
                </w:p>
                <w:p>
                  <w:pPr>
                    <w:pStyle w:val="40"/>
                    <w:bidi w:val="0"/>
                    <w:rPr>
                      <w:rFonts w:hint="default" w:ascii="Times New Roman" w:hAnsi="Times New Roman" w:cs="Times New Roman"/>
                    </w:rPr>
                  </w:pPr>
                  <w:r>
                    <w:rPr>
                      <w:rFonts w:hint="default" w:ascii="Times New Roman" w:hAnsi="Times New Roman" w:cs="Times New Roman"/>
                    </w:rPr>
                    <w:t>不涉及禁止使用类、限制使用类农药的使用。</w:t>
                  </w:r>
                </w:p>
              </w:tc>
              <w:tc>
                <w:tcPr>
                  <w:tcW w:w="508" w:type="pct"/>
                  <w:vAlign w:val="center"/>
                </w:tcPr>
                <w:p>
                  <w:pPr>
                    <w:pStyle w:val="40"/>
                    <w:bidi w:val="0"/>
                    <w:rPr>
                      <w:rFonts w:hint="default" w:ascii="Times New Roman" w:hAnsi="Times New Roman" w:cs="Times New Roman"/>
                    </w:rPr>
                  </w:pPr>
                  <w:r>
                    <w:rPr>
                      <w:rFonts w:hint="default" w:ascii="Times New Roman" w:hAnsi="Times New Roman" w:cs="Times New Roman"/>
                    </w:rPr>
                    <w:t>符合</w:t>
                  </w:r>
                </w:p>
              </w:tc>
            </w:tr>
          </w:tbl>
          <w:p>
            <w:pPr>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cs="Times New Roman"/>
              </w:rPr>
            </w:pPr>
            <w:r>
              <w:rPr>
                <w:rFonts w:hint="default" w:ascii="Times New Roman" w:hAnsi="Times New Roman" w:cs="Times New Roman"/>
              </w:rPr>
              <w:t>综上所述，项目建设和运营不涉及《云南省滇池保护条例》中规定的三级保护区禁止进行的行为，因此本项目的建设符合《云南省滇池保护条例》规定的要求。</w:t>
            </w:r>
          </w:p>
          <w:p>
            <w:pPr>
              <w:bidi w:val="0"/>
              <w:rPr>
                <w:rFonts w:hint="default" w:ascii="Times New Roman" w:hAnsi="Times New Roman" w:cs="Times New Roman"/>
                <w:b/>
                <w:bCs/>
              </w:rPr>
            </w:pPr>
            <w:bookmarkStart w:id="8" w:name="_Toc26297"/>
            <w:r>
              <w:rPr>
                <w:rFonts w:hint="default" w:ascii="Times New Roman" w:hAnsi="Times New Roman" w:cs="Times New Roman"/>
                <w:b/>
                <w:bCs/>
                <w:lang w:val="en-US" w:eastAsia="zh-CN"/>
              </w:rPr>
              <w:t>6</w:t>
            </w:r>
            <w:r>
              <w:rPr>
                <w:rFonts w:hint="default" w:ascii="Times New Roman" w:hAnsi="Times New Roman" w:cs="Times New Roman"/>
                <w:b/>
                <w:bCs/>
              </w:rPr>
              <w:t>、与《云南省重点行业挥发性有机物综合治理实施方案》符合性分析</w:t>
            </w:r>
          </w:p>
          <w:p>
            <w:pPr>
              <w:bidi w:val="0"/>
              <w:rPr>
                <w:rFonts w:hint="default" w:ascii="Times New Roman" w:hAnsi="Times New Roman" w:cs="Times New Roman"/>
              </w:rPr>
            </w:pPr>
            <w:r>
              <w:rPr>
                <w:rFonts w:hint="default" w:ascii="Times New Roman" w:hAnsi="Times New Roman" w:cs="Times New Roman"/>
              </w:rPr>
              <w:t>2019年9月4日，云南省生态环境厅印发了《云南省重点行业挥发性有机物综合治理实施方案》（云环通〔2019〕125号）。项目与《云南省重点行业挥发性有机物综合治理实施方案》的相符性分析见表1-</w:t>
            </w:r>
            <w:r>
              <w:rPr>
                <w:rFonts w:hint="default" w:ascii="Times New Roman" w:hAnsi="Times New Roman" w:cs="Times New Roman"/>
                <w:lang w:val="en-US" w:eastAsia="zh-CN"/>
              </w:rPr>
              <w:t>6</w:t>
            </w:r>
            <w:r>
              <w:rPr>
                <w:rFonts w:hint="default" w:ascii="Times New Roman" w:hAnsi="Times New Roman" w:cs="Times New Roman"/>
              </w:rPr>
              <w:t>。</w:t>
            </w:r>
          </w:p>
          <w:p>
            <w:pPr>
              <w:pStyle w:val="36"/>
              <w:bidi w:val="0"/>
              <w:rPr>
                <w:rFonts w:hint="default" w:ascii="Times New Roman" w:hAnsi="Times New Roman" w:cs="Times New Roman"/>
              </w:rPr>
            </w:pPr>
            <w:r>
              <w:rPr>
                <w:rFonts w:hint="default" w:ascii="Times New Roman" w:hAnsi="Times New Roman" w:cs="Times New Roman"/>
              </w:rPr>
              <w:t>表1-</w:t>
            </w:r>
            <w:r>
              <w:rPr>
                <w:rFonts w:hint="default" w:ascii="Times New Roman" w:hAnsi="Times New Roman" w:cs="Times New Roman"/>
                <w:lang w:val="en-US" w:eastAsia="zh-CN"/>
              </w:rPr>
              <w:t>6</w:t>
            </w:r>
            <w:r>
              <w:rPr>
                <w:rFonts w:hint="default" w:ascii="Times New Roman" w:hAnsi="Times New Roman" w:cs="Times New Roman"/>
              </w:rPr>
              <w:t>项目与《云南省重点行业挥发性有机物综合治理实施方案》的相符性分析</w:t>
            </w:r>
          </w:p>
          <w:tbl>
            <w:tblPr>
              <w:tblStyle w:val="28"/>
              <w:tblW w:w="4976"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3979"/>
              <w:gridCol w:w="2700"/>
              <w:gridCol w:w="66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707" w:type="pct"/>
                  <w:tcBorders>
                    <w:tl2br w:val="nil"/>
                    <w:tr2bl w:val="nil"/>
                  </w:tcBorders>
                  <w:vAlign w:val="center"/>
                </w:tcPr>
                <w:p>
                  <w:pPr>
                    <w:pStyle w:val="24"/>
                    <w:pageBreakBefore w:val="0"/>
                    <w:widowControl w:val="0"/>
                    <w:kinsoku/>
                    <w:wordWrap/>
                    <w:overflowPunct/>
                    <w:topLinePunct w:val="0"/>
                    <w:bidi w:val="0"/>
                    <w:adjustRightInd w:val="0"/>
                    <w:snapToGrid w:val="0"/>
                    <w:spacing w:before="0" w:beforeAutospacing="0" w:after="0" w:afterAutospacing="0"/>
                    <w:ind w:firstLine="0" w:firstLineChars="0"/>
                    <w:jc w:val="center"/>
                    <w:rPr>
                      <w:rFonts w:hint="default" w:ascii="Times New Roman" w:hAnsi="Times New Roman" w:cs="Times New Roman" w:eastAsiaTheme="minorEastAsia"/>
                      <w:b/>
                      <w:color w:val="auto"/>
                      <w:sz w:val="21"/>
                      <w:szCs w:val="21"/>
                      <w:lang w:bidi="ar"/>
                    </w:rPr>
                  </w:pPr>
                  <w:r>
                    <w:rPr>
                      <w:rFonts w:hint="default" w:ascii="Times New Roman" w:hAnsi="Times New Roman" w:cs="Times New Roman" w:eastAsiaTheme="minorEastAsia"/>
                      <w:b/>
                      <w:color w:val="auto"/>
                      <w:sz w:val="21"/>
                      <w:szCs w:val="21"/>
                      <w:lang w:bidi="ar"/>
                    </w:rPr>
                    <w:t>《云南省重点行业挥发性有机物综合治理实施方案》</w:t>
                  </w:r>
                </w:p>
              </w:tc>
              <w:tc>
                <w:tcPr>
                  <w:tcW w:w="1837" w:type="pct"/>
                  <w:tcBorders>
                    <w:tl2br w:val="nil"/>
                    <w:tr2bl w:val="nil"/>
                  </w:tcBorders>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本项目</w:t>
                  </w:r>
                </w:p>
              </w:tc>
              <w:tc>
                <w:tcPr>
                  <w:tcW w:w="455" w:type="pct"/>
                  <w:tcBorders>
                    <w:tl2br w:val="nil"/>
                    <w:tr2bl w:val="nil"/>
                  </w:tcBorders>
                  <w:vAlign w:val="center"/>
                </w:tcPr>
                <w:p>
                  <w:pPr>
                    <w:pageBreakBefore w:val="0"/>
                    <w:kinsoku/>
                    <w:wordWrap/>
                    <w:overflowPunct/>
                    <w:topLinePunct w:val="0"/>
                    <w:bidi w:val="0"/>
                    <w:adjustRightInd w:val="0"/>
                    <w:snapToGrid w:val="0"/>
                    <w:ind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相符性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707" w:type="pct"/>
                  <w:tcBorders>
                    <w:tl2br w:val="nil"/>
                    <w:tr2bl w:val="nil"/>
                  </w:tcBorders>
                  <w:vAlign w:val="center"/>
                </w:tcPr>
                <w:p>
                  <w:pPr>
                    <w:pStyle w:val="24"/>
                    <w:pageBreakBefore w:val="0"/>
                    <w:kinsoku/>
                    <w:wordWrap/>
                    <w:overflowPunct/>
                    <w:topLinePunct w:val="0"/>
                    <w:bidi w:val="0"/>
                    <w:adjustRightInd w:val="0"/>
                    <w:snapToGrid w:val="0"/>
                    <w:ind w:firstLine="0" w:firstLineChars="0"/>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837" w:type="pct"/>
                  <w:vMerge w:val="restart"/>
                  <w:tcBorders>
                    <w:tl2br w:val="nil"/>
                    <w:tr2bl w:val="nil"/>
                  </w:tcBorders>
                  <w:vAlign w:val="center"/>
                </w:tcPr>
                <w:p>
                  <w:pPr>
                    <w:pageBreakBefore w:val="0"/>
                    <w:kinsoku/>
                    <w:wordWrap/>
                    <w:overflowPunct/>
                    <w:topLinePunct w:val="0"/>
                    <w:bidi w:val="0"/>
                    <w:adjustRightInd w:val="0"/>
                    <w:snapToGrid w:val="0"/>
                    <w:ind w:firstLine="0" w:firstLineChars="0"/>
                    <w:rPr>
                      <w:rFonts w:hint="default" w:ascii="Times New Roman" w:hAnsi="Times New Roman" w:cs="Times New Roman" w:eastAsiaTheme="minorEastAsia"/>
                      <w:color w:val="auto"/>
                      <w:sz w:val="21"/>
                      <w:szCs w:val="21"/>
                      <w:lang w:val="en-US" w:eastAsia="zh-CN" w:bidi="ar"/>
                    </w:rPr>
                  </w:pPr>
                  <w:r>
                    <w:rPr>
                      <w:rFonts w:hint="default" w:ascii="Times New Roman" w:hAnsi="Times New Roman" w:cs="Times New Roman" w:eastAsiaTheme="minorEastAsia"/>
                      <w:color w:val="auto"/>
                      <w:sz w:val="21"/>
                      <w:szCs w:val="21"/>
                      <w:lang w:eastAsia="zh-CN"/>
                    </w:rPr>
                    <w:t>本项目</w:t>
                  </w:r>
                  <w:r>
                    <w:rPr>
                      <w:rFonts w:hint="default" w:ascii="Times New Roman" w:hAnsi="Times New Roman" w:cs="Times New Roman" w:eastAsiaTheme="minorEastAsia"/>
                      <w:color w:val="auto"/>
                      <w:sz w:val="21"/>
                      <w:szCs w:val="21"/>
                      <w:lang w:val="en-US" w:eastAsia="zh-CN"/>
                    </w:rPr>
                    <w:t>VOCs的产生主要来源于合胶、密封</w:t>
                  </w:r>
                  <w:r>
                    <w:rPr>
                      <w:rFonts w:hint="default" w:ascii="Times New Roman" w:hAnsi="Times New Roman" w:eastAsia="宋体" w:cs="Times New Roman"/>
                      <w:b w:val="0"/>
                      <w:bCs w:val="0"/>
                      <w:color w:val="auto"/>
                      <w:kern w:val="0"/>
                      <w:sz w:val="21"/>
                      <w:szCs w:val="21"/>
                      <w:vertAlign w:val="baseline"/>
                      <w:lang w:val="en-US" w:eastAsia="zh-CN"/>
                    </w:rPr>
                    <w:t>过程产生的</w:t>
                  </w:r>
                  <w:r>
                    <w:rPr>
                      <w:rFonts w:hint="default" w:ascii="Times New Roman" w:hAnsi="Times New Roman" w:cs="Times New Roman" w:eastAsiaTheme="minorEastAsia"/>
                      <w:color w:val="auto"/>
                      <w:sz w:val="21"/>
                      <w:szCs w:val="21"/>
                      <w:lang w:eastAsia="zh-CN"/>
                    </w:rPr>
                    <w:t>VOCs</w:t>
                  </w:r>
                  <w:r>
                    <w:rPr>
                      <w:rFonts w:hint="default" w:ascii="Times New Roman" w:hAnsi="Times New Roman" w:cs="Times New Roman" w:eastAsiaTheme="minorEastAsia"/>
                      <w:color w:val="auto"/>
                      <w:sz w:val="21"/>
                      <w:szCs w:val="21"/>
                      <w:lang w:val="en-US" w:eastAsia="zh-CN"/>
                    </w:rPr>
                    <w:t>，合胶、密封工序</w:t>
                  </w:r>
                  <w:r>
                    <w:rPr>
                      <w:rFonts w:hint="default" w:ascii="Times New Roman" w:hAnsi="Times New Roman" w:cs="Times New Roman" w:eastAsiaTheme="minorEastAsia"/>
                      <w:color w:val="auto"/>
                      <w:sz w:val="21"/>
                      <w:szCs w:val="21"/>
                    </w:rPr>
                    <w:t>上方分别设置集气罩将废气统一收集</w:t>
                  </w:r>
                  <w:r>
                    <w:rPr>
                      <w:rFonts w:hint="default" w:ascii="Times New Roman" w:hAnsi="Times New Roman" w:cs="Times New Roman" w:eastAsiaTheme="minorEastAsia"/>
                      <w:color w:val="auto"/>
                      <w:sz w:val="21"/>
                      <w:szCs w:val="21"/>
                      <w:lang w:eastAsia="zh-CN"/>
                    </w:rPr>
                    <w:t>，采用局部集气罩，且距集气罩开口面最远处的VOCs无组织排放位置控制风速≥0.3米/秒，VOCs废气经收集后</w:t>
                  </w:r>
                  <w:r>
                    <w:rPr>
                      <w:rFonts w:hint="default" w:ascii="Times New Roman" w:hAnsi="Times New Roman" w:cs="Times New Roman" w:eastAsiaTheme="minorEastAsia"/>
                      <w:color w:val="auto"/>
                      <w:sz w:val="21"/>
                      <w:szCs w:val="21"/>
                    </w:rPr>
                    <w:t>进入“</w:t>
                  </w:r>
                  <w:r>
                    <w:rPr>
                      <w:rFonts w:hint="default" w:ascii="Times New Roman" w:hAnsi="Times New Roman" w:cs="Times New Roman" w:eastAsiaTheme="minorEastAsia"/>
                      <w:color w:val="auto"/>
                      <w:sz w:val="21"/>
                      <w:szCs w:val="21"/>
                      <w:lang w:eastAsia="zh-CN"/>
                    </w:rPr>
                    <w:t>二级活性炭活性炭吸附设备</w:t>
                  </w:r>
                  <w:r>
                    <w:rPr>
                      <w:rFonts w:hint="default" w:ascii="Times New Roman" w:hAnsi="Times New Roman" w:cs="Times New Roman" w:eastAsiaTheme="minorEastAsia"/>
                      <w:color w:val="auto"/>
                      <w:sz w:val="21"/>
                      <w:szCs w:val="21"/>
                    </w:rPr>
                    <w:t>”处理达标后由1根15m高排气筒排放</w:t>
                  </w:r>
                  <w:r>
                    <w:rPr>
                      <w:rFonts w:hint="default" w:ascii="Times New Roman" w:hAnsi="Times New Roman" w:cs="Times New Roman" w:eastAsiaTheme="minorEastAsia"/>
                      <w:color w:val="auto"/>
                      <w:sz w:val="21"/>
                      <w:szCs w:val="21"/>
                      <w:lang w:eastAsia="zh-CN"/>
                    </w:rPr>
                    <w:t>；</w:t>
                  </w:r>
                </w:p>
              </w:tc>
              <w:tc>
                <w:tcPr>
                  <w:tcW w:w="455" w:type="pct"/>
                  <w:tcBorders>
                    <w:tl2br w:val="nil"/>
                    <w:tr2bl w:val="nil"/>
                  </w:tcBorders>
                  <w:vAlign w:val="center"/>
                </w:tcPr>
                <w:p>
                  <w:pPr>
                    <w:pStyle w:val="24"/>
                    <w:pageBreakBefore w:val="0"/>
                    <w:widowControl w:val="0"/>
                    <w:kinsoku/>
                    <w:wordWrap/>
                    <w:overflowPunct/>
                    <w:topLinePunct w:val="0"/>
                    <w:bidi w:val="0"/>
                    <w:adjustRightInd w:val="0"/>
                    <w:snapToGrid w:val="0"/>
                    <w:spacing w:before="0" w:beforeAutospacing="0" w:after="0" w:afterAutospacing="0"/>
                    <w:ind w:firstLine="0" w:firstLineChars="0"/>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相符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707" w:type="pct"/>
                  <w:tcBorders>
                    <w:tl2br w:val="nil"/>
                    <w:tr2bl w:val="nil"/>
                  </w:tcBorders>
                  <w:vAlign w:val="center"/>
                </w:tcPr>
                <w:p>
                  <w:pPr>
                    <w:pStyle w:val="24"/>
                    <w:pageBreakBefore w:val="0"/>
                    <w:kinsoku/>
                    <w:wordWrap/>
                    <w:overflowPunct/>
                    <w:topLinePunct w:val="0"/>
                    <w:bidi w:val="0"/>
                    <w:adjustRightInd w:val="0"/>
                    <w:snapToGrid w:val="0"/>
                    <w:ind w:firstLine="0" w:firstLineChars="0"/>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837" w:type="pct"/>
                  <w:vMerge w:val="continue"/>
                  <w:tcBorders>
                    <w:tl2br w:val="nil"/>
                    <w:tr2bl w:val="nil"/>
                  </w:tcBorders>
                  <w:vAlign w:val="center"/>
                </w:tcPr>
                <w:p>
                  <w:pPr>
                    <w:pStyle w:val="24"/>
                    <w:pageBreakBefore w:val="0"/>
                    <w:kinsoku/>
                    <w:wordWrap/>
                    <w:overflowPunct/>
                    <w:topLinePunct w:val="0"/>
                    <w:bidi w:val="0"/>
                    <w:adjustRightInd w:val="0"/>
                    <w:snapToGrid w:val="0"/>
                    <w:spacing w:before="0" w:beforeAutospacing="0" w:after="0" w:afterAutospacing="0"/>
                    <w:ind w:firstLine="0" w:firstLineChars="0"/>
                    <w:jc w:val="center"/>
                    <w:rPr>
                      <w:rFonts w:hint="default" w:ascii="Times New Roman" w:hAnsi="Times New Roman" w:cs="Times New Roman" w:eastAsiaTheme="minorEastAsia"/>
                      <w:color w:val="auto"/>
                      <w:sz w:val="21"/>
                      <w:szCs w:val="21"/>
                      <w:lang w:bidi="ar"/>
                    </w:rPr>
                  </w:pPr>
                </w:p>
              </w:tc>
              <w:tc>
                <w:tcPr>
                  <w:tcW w:w="455" w:type="pct"/>
                  <w:tcBorders>
                    <w:tl2br w:val="nil"/>
                    <w:tr2bl w:val="nil"/>
                  </w:tcBorders>
                  <w:vAlign w:val="center"/>
                </w:tcPr>
                <w:p>
                  <w:pPr>
                    <w:pStyle w:val="24"/>
                    <w:pageBreakBefore w:val="0"/>
                    <w:widowControl w:val="0"/>
                    <w:kinsoku/>
                    <w:wordWrap/>
                    <w:overflowPunct/>
                    <w:topLinePunct w:val="0"/>
                    <w:bidi w:val="0"/>
                    <w:adjustRightInd w:val="0"/>
                    <w:snapToGrid w:val="0"/>
                    <w:spacing w:before="0" w:beforeAutospacing="0" w:after="0" w:afterAutospacing="0"/>
                    <w:ind w:firstLine="0" w:firstLineChars="0"/>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相符</w:t>
                  </w:r>
                </w:p>
              </w:tc>
            </w:tr>
          </w:tbl>
          <w:p>
            <w:pPr>
              <w:bidi w:val="0"/>
              <w:rPr>
                <w:rFonts w:hint="default" w:ascii="Times New Roman" w:hAnsi="Times New Roman" w:cs="Times New Roman"/>
              </w:rPr>
            </w:pPr>
            <w:r>
              <w:rPr>
                <w:rFonts w:hint="default" w:ascii="Times New Roman" w:hAnsi="Times New Roman" w:cs="Times New Roman"/>
              </w:rPr>
              <w:t>综上所述，项目与《云南省重点行业挥发性有机物综合治理实施方案》（云环通〔2019〕125号）相符。</w:t>
            </w:r>
          </w:p>
          <w:bookmarkEnd w:id="8"/>
          <w:p>
            <w:pPr>
              <w:bidi w:val="0"/>
              <w:rPr>
                <w:rFonts w:hint="default" w:ascii="Times New Roman" w:hAnsi="Times New Roman" w:cs="Times New Roman"/>
                <w:b/>
                <w:bCs/>
              </w:rPr>
            </w:pPr>
            <w:r>
              <w:rPr>
                <w:rFonts w:hint="default" w:ascii="Times New Roman" w:hAnsi="Times New Roman" w:cs="Times New Roman"/>
                <w:b/>
                <w:bCs/>
                <w:lang w:val="en-US" w:eastAsia="zh-CN"/>
              </w:rPr>
              <w:t>8</w:t>
            </w:r>
            <w:r>
              <w:rPr>
                <w:rFonts w:hint="default" w:ascii="Times New Roman" w:hAnsi="Times New Roman" w:cs="Times New Roman"/>
                <w:b/>
                <w:bCs/>
              </w:rPr>
              <w:t>、与《挥发性有机物污染防治技术政策》符合性分析</w:t>
            </w:r>
          </w:p>
          <w:p>
            <w:pPr>
              <w:bidi w:val="0"/>
              <w:rPr>
                <w:rFonts w:hint="default" w:ascii="Times New Roman" w:hAnsi="Times New Roman" w:cs="Times New Roman"/>
                <w:b/>
                <w:bCs/>
              </w:rPr>
            </w:pPr>
            <w:r>
              <w:rPr>
                <w:rFonts w:hint="default" w:ascii="Times New Roman" w:hAnsi="Times New Roman" w:cs="Times New Roman"/>
                <w:b/>
                <w:bCs/>
              </w:rPr>
              <w:t>项目与《挥发性有机物污染防治技术政策》相符性分析见表1-8。</w:t>
            </w:r>
          </w:p>
          <w:p>
            <w:pPr>
              <w:pStyle w:val="36"/>
              <w:bidi w:val="0"/>
              <w:rPr>
                <w:rFonts w:hint="default" w:ascii="Times New Roman" w:hAnsi="Times New Roman" w:cs="Times New Roman"/>
              </w:rPr>
            </w:pPr>
            <w:r>
              <w:rPr>
                <w:rFonts w:hint="default" w:ascii="Times New Roman" w:hAnsi="Times New Roman" w:cs="Times New Roman"/>
              </w:rPr>
              <w:t>表1-8与《挥发性有机物污染防治技术政策》符合性分析</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450"/>
              <w:gridCol w:w="2826"/>
              <w:gridCol w:w="3022"/>
              <w:gridCol w:w="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30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2220" w:type="pct"/>
                  <w:gridSpan w:val="2"/>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color w:val="auto"/>
                      <w:spacing w:val="4"/>
                      <w:kern w:val="24"/>
                      <w:sz w:val="21"/>
                      <w:szCs w:val="21"/>
                      <w:lang w:bidi="ar"/>
                    </w:rPr>
                    <w:t>《挥发性有机物污染防治技术政策》内容如下</w:t>
                  </w:r>
                </w:p>
              </w:tc>
              <w:tc>
                <w:tcPr>
                  <w:tcW w:w="2048"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该项目情况</w:t>
                  </w:r>
                </w:p>
              </w:tc>
              <w:tc>
                <w:tcPr>
                  <w:tcW w:w="42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30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305" w:type="pct"/>
                  <w:vMerge w:val="restar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源头和过程控制</w:t>
                  </w:r>
                </w:p>
              </w:tc>
              <w:tc>
                <w:tcPr>
                  <w:tcW w:w="1914"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rPr>
                    <w:t>鼓励使用通过环境标志产品认证的环保型涂料、油墨、胶粘剂和清洗剂。</w:t>
                  </w:r>
                </w:p>
              </w:tc>
              <w:tc>
                <w:tcPr>
                  <w:tcW w:w="2048"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本项目使用的</w:t>
                  </w:r>
                  <w:r>
                    <w:rPr>
                      <w:rFonts w:hint="default" w:ascii="Times New Roman" w:hAnsi="Times New Roman" w:eastAsia="宋体" w:cs="Times New Roman"/>
                      <w:b w:val="0"/>
                      <w:bCs w:val="0"/>
                      <w:color w:val="auto"/>
                      <w:kern w:val="0"/>
                      <w:sz w:val="21"/>
                      <w:szCs w:val="21"/>
                      <w:vertAlign w:val="baseline"/>
                      <w:lang w:val="en-US" w:eastAsia="zh-CN"/>
                    </w:rPr>
                    <w:t>JS8000建筑用双组份硅酮结构密封胶、丁基胶</w:t>
                  </w:r>
                  <w:r>
                    <w:rPr>
                      <w:rFonts w:hint="default" w:ascii="Times New Roman" w:hAnsi="Times New Roman" w:cs="Times New Roman" w:eastAsiaTheme="minorEastAsia"/>
                      <w:color w:val="auto"/>
                      <w:sz w:val="21"/>
                      <w:szCs w:val="21"/>
                    </w:rPr>
                    <w:t>为环保型</w:t>
                  </w:r>
                  <w:r>
                    <w:rPr>
                      <w:rFonts w:hint="default" w:ascii="Times New Roman" w:hAnsi="Times New Roman" w:cs="Times New Roman" w:eastAsiaTheme="minorEastAsia"/>
                      <w:color w:val="auto"/>
                      <w:sz w:val="21"/>
                      <w:szCs w:val="21"/>
                      <w:lang w:val="en-US" w:eastAsia="zh-CN"/>
                    </w:rPr>
                    <w:t>胶</w:t>
                  </w:r>
                  <w:r>
                    <w:rPr>
                      <w:rFonts w:hint="default" w:ascii="Times New Roman" w:hAnsi="Times New Roman" w:cs="Times New Roman" w:eastAsiaTheme="minorEastAsia"/>
                      <w:color w:val="auto"/>
                      <w:sz w:val="21"/>
                      <w:szCs w:val="21"/>
                      <w:lang w:val="zh-CN"/>
                    </w:rPr>
                    <w:t>。</w:t>
                  </w:r>
                </w:p>
              </w:tc>
              <w:tc>
                <w:tcPr>
                  <w:tcW w:w="42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0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305" w:type="pct"/>
                  <w:vMerge w:val="continue"/>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p>
              </w:tc>
              <w:tc>
                <w:tcPr>
                  <w:tcW w:w="1914"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lang w:val="zh-CN"/>
                    </w:rPr>
                  </w:pPr>
                  <w:r>
                    <w:rPr>
                      <w:rFonts w:hint="default" w:ascii="Times New Roman" w:hAnsi="Times New Roman" w:cs="Times New Roman" w:eastAsiaTheme="minorEastAsia"/>
                      <w:color w:val="auto"/>
                      <w:sz w:val="21"/>
                      <w:szCs w:val="21"/>
                      <w:lang w:val="zh-CN"/>
                    </w:rPr>
                    <w:t>根据涂装工艺的不同，鼓励使用水性涂料、高固份涂料、</w:t>
                  </w:r>
                  <w:r>
                    <w:rPr>
                      <w:rFonts w:hint="eastAsia" w:cs="Times New Roman" w:eastAsiaTheme="minorEastAsia"/>
                      <w:color w:val="auto"/>
                      <w:sz w:val="21"/>
                      <w:szCs w:val="21"/>
                      <w:lang w:val="zh-CN"/>
                    </w:rPr>
                    <w:t>粉末</w:t>
                  </w:r>
                  <w:r>
                    <w:rPr>
                      <w:rFonts w:hint="default" w:ascii="Times New Roman" w:hAnsi="Times New Roman" w:cs="Times New Roman" w:eastAsiaTheme="minorEastAsia"/>
                      <w:color w:val="auto"/>
                      <w:sz w:val="21"/>
                      <w:szCs w:val="21"/>
                      <w:lang w:val="zh-CN"/>
                    </w:rPr>
                    <w:t>涂料、紫外光固化（UV）涂料等环保型涂料；推广采用静电喷涂、淋涂、辊涂、浸涂等效率较高的涂装工艺；应尽量避免无VoCs净化、回收措施的露天喷涂作业。</w:t>
                  </w:r>
                </w:p>
              </w:tc>
              <w:tc>
                <w:tcPr>
                  <w:tcW w:w="2048"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w:t>
                  </w:r>
                  <w:r>
                    <w:rPr>
                      <w:rFonts w:hint="default" w:ascii="Times New Roman" w:hAnsi="Times New Roman" w:cs="Times New Roman" w:eastAsiaTheme="minorEastAsia"/>
                      <w:color w:val="auto"/>
                      <w:sz w:val="21"/>
                      <w:szCs w:val="21"/>
                      <w:lang w:eastAsia="zh-CN"/>
                    </w:rPr>
                    <w:t>不涉及涂装工艺，</w:t>
                  </w:r>
                  <w:r>
                    <w:rPr>
                      <w:rFonts w:hint="default" w:ascii="Times New Roman" w:hAnsi="Times New Roman" w:cs="Times New Roman" w:eastAsiaTheme="minorEastAsia"/>
                      <w:color w:val="auto"/>
                      <w:sz w:val="21"/>
                      <w:szCs w:val="21"/>
                    </w:rPr>
                    <w:t>VOCs的产生主要来源于</w:t>
                  </w:r>
                  <w:r>
                    <w:rPr>
                      <w:rFonts w:hint="default" w:ascii="Times New Roman" w:hAnsi="Times New Roman" w:cs="Times New Roman" w:eastAsiaTheme="minorEastAsia"/>
                      <w:color w:val="auto"/>
                      <w:sz w:val="21"/>
                      <w:szCs w:val="21"/>
                      <w:lang w:val="en-US" w:eastAsia="zh-CN"/>
                    </w:rPr>
                    <w:t>合胶、密封</w:t>
                  </w:r>
                  <w:r>
                    <w:rPr>
                      <w:rFonts w:hint="default" w:ascii="Times New Roman" w:hAnsi="Times New Roman" w:eastAsia="宋体" w:cs="Times New Roman"/>
                      <w:b w:val="0"/>
                      <w:bCs w:val="0"/>
                      <w:color w:val="auto"/>
                      <w:kern w:val="0"/>
                      <w:sz w:val="21"/>
                      <w:szCs w:val="21"/>
                      <w:vertAlign w:val="baseline"/>
                      <w:lang w:val="en-US" w:eastAsia="zh-CN"/>
                    </w:rPr>
                    <w:t>过程</w:t>
                  </w:r>
                  <w:r>
                    <w:rPr>
                      <w:rFonts w:hint="default" w:ascii="Times New Roman" w:hAnsi="Times New Roman" w:cs="Times New Roman" w:eastAsiaTheme="minorEastAsia"/>
                      <w:color w:val="auto"/>
                      <w:sz w:val="21"/>
                      <w:szCs w:val="21"/>
                    </w:rPr>
                    <w:t>，本项目</w:t>
                  </w:r>
                  <w:r>
                    <w:rPr>
                      <w:rFonts w:hint="default" w:ascii="Times New Roman" w:hAnsi="Times New Roman" w:cs="Times New Roman" w:eastAsiaTheme="minorEastAsia"/>
                      <w:color w:val="auto"/>
                      <w:sz w:val="21"/>
                      <w:szCs w:val="21"/>
                      <w:lang w:val="en-US" w:eastAsia="zh-CN"/>
                    </w:rPr>
                    <w:t>合胶、密封</w:t>
                  </w:r>
                  <w:r>
                    <w:rPr>
                      <w:rFonts w:hint="default" w:ascii="Times New Roman" w:hAnsi="Times New Roman" w:eastAsia="宋体" w:cs="Times New Roman"/>
                      <w:b w:val="0"/>
                      <w:bCs w:val="0"/>
                      <w:color w:val="auto"/>
                      <w:kern w:val="0"/>
                      <w:sz w:val="21"/>
                      <w:szCs w:val="21"/>
                      <w:vertAlign w:val="baseline"/>
                      <w:lang w:val="en-US" w:eastAsia="zh-CN"/>
                    </w:rPr>
                    <w:t>过程</w:t>
                  </w:r>
                  <w:r>
                    <w:rPr>
                      <w:rFonts w:hint="default" w:ascii="Times New Roman" w:hAnsi="Times New Roman" w:cs="Times New Roman" w:eastAsiaTheme="minorEastAsia"/>
                      <w:color w:val="auto"/>
                      <w:sz w:val="21"/>
                      <w:szCs w:val="21"/>
                    </w:rPr>
                    <w:t>上方分别设置集气罩将挤塑废气统一收集收集后进入“</w:t>
                  </w:r>
                  <w:r>
                    <w:rPr>
                      <w:rFonts w:hint="default" w:ascii="Times New Roman" w:hAnsi="Times New Roman" w:cs="Times New Roman" w:eastAsiaTheme="minorEastAsia"/>
                      <w:color w:val="auto"/>
                      <w:sz w:val="21"/>
                      <w:szCs w:val="21"/>
                      <w:lang w:eastAsia="zh-CN"/>
                    </w:rPr>
                    <w:t>二级活性炭活性炭吸附设备</w:t>
                  </w:r>
                  <w:r>
                    <w:rPr>
                      <w:rFonts w:hint="default" w:ascii="Times New Roman" w:hAnsi="Times New Roman" w:cs="Times New Roman" w:eastAsiaTheme="minorEastAsia"/>
                      <w:color w:val="auto"/>
                      <w:sz w:val="21"/>
                      <w:szCs w:val="21"/>
                    </w:rPr>
                    <w:t>”处理达标后由1根15m高排气筒排放</w:t>
                  </w:r>
                  <w:r>
                    <w:rPr>
                      <w:rFonts w:hint="default" w:ascii="Times New Roman" w:hAnsi="Times New Roman" w:cs="Times New Roman" w:eastAsiaTheme="minorEastAsia"/>
                      <w:color w:val="auto"/>
                      <w:sz w:val="21"/>
                      <w:szCs w:val="21"/>
                      <w:lang w:eastAsia="zh-CN"/>
                    </w:rPr>
                    <w:t>；</w:t>
                  </w:r>
                </w:p>
              </w:tc>
              <w:tc>
                <w:tcPr>
                  <w:tcW w:w="42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30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w:t>
                  </w:r>
                </w:p>
              </w:tc>
              <w:tc>
                <w:tcPr>
                  <w:tcW w:w="305" w:type="pct"/>
                  <w:vMerge w:val="continue"/>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p>
              </w:tc>
              <w:tc>
                <w:tcPr>
                  <w:tcW w:w="1914"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rPr>
                    <w:t>淘汰以三氟三氯乙烷、甲基氯仿和四氯化碳为清洗剂或溶剂的生产工艺。清洗过程中产生的废溶剂宜密闭收集，有回收价值的废溶剂经处理后回用，其他废溶剂应妥善处置。</w:t>
                  </w:r>
                </w:p>
              </w:tc>
              <w:tc>
                <w:tcPr>
                  <w:tcW w:w="2048"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本项目不涉及</w:t>
                  </w:r>
                  <w:r>
                    <w:rPr>
                      <w:rFonts w:hint="default" w:ascii="Times New Roman" w:hAnsi="Times New Roman" w:cs="Times New Roman" w:eastAsiaTheme="minorEastAsia"/>
                      <w:color w:val="auto"/>
                      <w:sz w:val="21"/>
                      <w:szCs w:val="21"/>
                      <w:lang w:val="zh-CN"/>
                    </w:rPr>
                    <w:t>以三氟三氯乙烷、甲基氯仿和四氯化碳为清洗剂或溶剂的生产工艺。</w:t>
                  </w:r>
                </w:p>
              </w:tc>
              <w:tc>
                <w:tcPr>
                  <w:tcW w:w="42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jc w:val="center"/>
              </w:trPr>
              <w:tc>
                <w:tcPr>
                  <w:tcW w:w="30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w:t>
                  </w:r>
                </w:p>
              </w:tc>
              <w:tc>
                <w:tcPr>
                  <w:tcW w:w="305" w:type="pct"/>
                  <w:vMerge w:val="continue"/>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p>
              </w:tc>
              <w:tc>
                <w:tcPr>
                  <w:tcW w:w="1914"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rPr>
                    <w:t>含VOCs产品的使用过程中，应采取废气收集措施，提高废气收集效率，减少废气的无组织排放与逸散，并对收集后的废气进行回收或处理后达标排放。</w:t>
                  </w:r>
                </w:p>
              </w:tc>
              <w:tc>
                <w:tcPr>
                  <w:tcW w:w="2048"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w:t>
                  </w:r>
                  <w:r>
                    <w:rPr>
                      <w:rFonts w:hint="default" w:ascii="Times New Roman" w:hAnsi="Times New Roman" w:cs="Times New Roman" w:eastAsiaTheme="minorEastAsia"/>
                      <w:color w:val="auto"/>
                      <w:sz w:val="21"/>
                      <w:szCs w:val="21"/>
                      <w:lang w:eastAsia="zh-CN"/>
                    </w:rPr>
                    <w:t>不涉及涂装工艺，</w:t>
                  </w:r>
                  <w:r>
                    <w:rPr>
                      <w:rFonts w:hint="default" w:ascii="Times New Roman" w:hAnsi="Times New Roman" w:cs="Times New Roman" w:eastAsiaTheme="minorEastAsia"/>
                      <w:color w:val="auto"/>
                      <w:sz w:val="21"/>
                      <w:szCs w:val="21"/>
                    </w:rPr>
                    <w:t>VOCs的产生主要来源于</w:t>
                  </w:r>
                  <w:r>
                    <w:rPr>
                      <w:rFonts w:hint="default" w:ascii="Times New Roman" w:hAnsi="Times New Roman" w:cs="Times New Roman" w:eastAsiaTheme="minorEastAsia"/>
                      <w:color w:val="auto"/>
                      <w:sz w:val="21"/>
                      <w:szCs w:val="21"/>
                      <w:lang w:val="en-US" w:eastAsia="zh-CN"/>
                    </w:rPr>
                    <w:t>合胶、密封</w:t>
                  </w:r>
                  <w:r>
                    <w:rPr>
                      <w:rFonts w:hint="default" w:ascii="Times New Roman" w:hAnsi="Times New Roman" w:eastAsia="宋体" w:cs="Times New Roman"/>
                      <w:b w:val="0"/>
                      <w:bCs w:val="0"/>
                      <w:color w:val="auto"/>
                      <w:kern w:val="0"/>
                      <w:sz w:val="21"/>
                      <w:szCs w:val="21"/>
                      <w:vertAlign w:val="baseline"/>
                      <w:lang w:val="en-US" w:eastAsia="zh-CN"/>
                    </w:rPr>
                    <w:t>过程</w:t>
                  </w:r>
                  <w:r>
                    <w:rPr>
                      <w:rFonts w:hint="default" w:ascii="Times New Roman" w:hAnsi="Times New Roman" w:cs="Times New Roman" w:eastAsiaTheme="minorEastAsia"/>
                      <w:color w:val="auto"/>
                      <w:sz w:val="21"/>
                      <w:szCs w:val="21"/>
                    </w:rPr>
                    <w:t>，本项目</w:t>
                  </w:r>
                  <w:r>
                    <w:rPr>
                      <w:rFonts w:hint="default" w:ascii="Times New Roman" w:hAnsi="Times New Roman" w:cs="Times New Roman" w:eastAsiaTheme="minorEastAsia"/>
                      <w:color w:val="auto"/>
                      <w:sz w:val="21"/>
                      <w:szCs w:val="21"/>
                      <w:lang w:val="en-US" w:eastAsia="zh-CN"/>
                    </w:rPr>
                    <w:t>合胶、密封</w:t>
                  </w:r>
                  <w:r>
                    <w:rPr>
                      <w:rFonts w:hint="default" w:ascii="Times New Roman" w:hAnsi="Times New Roman" w:eastAsia="宋体" w:cs="Times New Roman"/>
                      <w:b w:val="0"/>
                      <w:bCs w:val="0"/>
                      <w:color w:val="auto"/>
                      <w:kern w:val="0"/>
                      <w:sz w:val="21"/>
                      <w:szCs w:val="21"/>
                      <w:vertAlign w:val="baseline"/>
                      <w:lang w:val="en-US" w:eastAsia="zh-CN"/>
                    </w:rPr>
                    <w:t>过程</w:t>
                  </w:r>
                  <w:r>
                    <w:rPr>
                      <w:rFonts w:hint="default" w:ascii="Times New Roman" w:hAnsi="Times New Roman" w:cs="Times New Roman" w:eastAsiaTheme="minorEastAsia"/>
                      <w:color w:val="auto"/>
                      <w:sz w:val="21"/>
                      <w:szCs w:val="21"/>
                    </w:rPr>
                    <w:t>上方分别设置集气罩将挤塑废气统一收集收集后进入“</w:t>
                  </w:r>
                  <w:r>
                    <w:rPr>
                      <w:rFonts w:hint="default" w:ascii="Times New Roman" w:hAnsi="Times New Roman" w:cs="Times New Roman" w:eastAsiaTheme="minorEastAsia"/>
                      <w:color w:val="auto"/>
                      <w:sz w:val="21"/>
                      <w:szCs w:val="21"/>
                      <w:lang w:eastAsia="zh-CN"/>
                    </w:rPr>
                    <w:t>二级活性炭活性炭吸附设备</w:t>
                  </w:r>
                  <w:r>
                    <w:rPr>
                      <w:rFonts w:hint="default" w:ascii="Times New Roman" w:hAnsi="Times New Roman" w:cs="Times New Roman" w:eastAsiaTheme="minorEastAsia"/>
                      <w:color w:val="auto"/>
                      <w:sz w:val="21"/>
                      <w:szCs w:val="21"/>
                    </w:rPr>
                    <w:t>”处理达标后由1根15m高排气筒排放</w:t>
                  </w:r>
                  <w:r>
                    <w:rPr>
                      <w:rFonts w:hint="default" w:ascii="Times New Roman" w:hAnsi="Times New Roman" w:cs="Times New Roman" w:eastAsiaTheme="minorEastAsia"/>
                      <w:color w:val="auto"/>
                      <w:sz w:val="21"/>
                      <w:szCs w:val="21"/>
                      <w:lang w:eastAsia="zh-CN"/>
                    </w:rPr>
                    <w:t>；</w:t>
                  </w:r>
                </w:p>
              </w:tc>
              <w:tc>
                <w:tcPr>
                  <w:tcW w:w="42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30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w:t>
                  </w:r>
                </w:p>
              </w:tc>
              <w:tc>
                <w:tcPr>
                  <w:tcW w:w="305" w:type="pct"/>
                  <w:vMerge w:val="restar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末端治理与综合利用</w:t>
                  </w:r>
                </w:p>
              </w:tc>
              <w:tc>
                <w:tcPr>
                  <w:tcW w:w="1914"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rPr>
                    <w:t>在工业生产过程中鼓励VOCs的回收利用，并优先鼓励在生产系统内回用。</w:t>
                  </w:r>
                </w:p>
              </w:tc>
              <w:tc>
                <w:tcPr>
                  <w:tcW w:w="2048"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本项目使用的原料均为钢化玻璃、JS8000建筑用双组份硅酮结构密封胶、丁基胶</w:t>
                  </w:r>
                </w:p>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分子筛、分子筛架、标签</w:t>
                  </w:r>
                </w:p>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铝间隔条</w:t>
                  </w:r>
                  <w:r>
                    <w:rPr>
                      <w:rFonts w:hint="default" w:ascii="Times New Roman" w:hAnsi="Times New Roman" w:cs="Times New Roman" w:eastAsiaTheme="minorEastAsia"/>
                      <w:color w:val="auto"/>
                      <w:sz w:val="21"/>
                      <w:szCs w:val="21"/>
                      <w:lang w:val="en-US" w:eastAsia="zh-CN"/>
                    </w:rPr>
                    <w:t>等</w:t>
                  </w:r>
                  <w:r>
                    <w:rPr>
                      <w:rFonts w:hint="default" w:ascii="Times New Roman" w:hAnsi="Times New Roman" w:cs="Times New Roman" w:eastAsiaTheme="minorEastAsia"/>
                      <w:color w:val="auto"/>
                      <w:sz w:val="21"/>
                      <w:szCs w:val="21"/>
                      <w:lang w:eastAsia="zh-CN"/>
                    </w:rPr>
                    <w:t>，产生</w:t>
                  </w:r>
                  <w:r>
                    <w:rPr>
                      <w:rFonts w:hint="default" w:ascii="Times New Roman" w:hAnsi="Times New Roman" w:cs="Times New Roman" w:eastAsiaTheme="minorEastAsia"/>
                      <w:color w:val="auto"/>
                      <w:sz w:val="21"/>
                      <w:szCs w:val="21"/>
                      <w:lang w:val="zh-CN"/>
                    </w:rPr>
                    <w:t>VOCs量较少，根据工程分析，</w:t>
                  </w:r>
                  <w:r>
                    <w:rPr>
                      <w:rFonts w:hint="default" w:ascii="Times New Roman" w:hAnsi="Times New Roman" w:eastAsia="宋体" w:cs="Times New Roman"/>
                      <w:color w:val="auto"/>
                      <w:sz w:val="21"/>
                      <w:szCs w:val="21"/>
                      <w:highlight w:val="none"/>
                      <w:vertAlign w:val="baseline"/>
                      <w:lang w:eastAsia="zh-CN"/>
                    </w:rPr>
                    <w:t>项目</w:t>
                  </w:r>
                  <w:r>
                    <w:rPr>
                      <w:rFonts w:hint="default" w:ascii="Times New Roman" w:hAnsi="Times New Roman" w:cs="Times New Roman"/>
                      <w:color w:val="auto"/>
                      <w:sz w:val="21"/>
                      <w:szCs w:val="21"/>
                      <w:highlight w:val="none"/>
                      <w:vertAlign w:val="baseline"/>
                      <w:lang w:val="en-US" w:eastAsia="zh-CN"/>
                    </w:rPr>
                    <w:t>封胶</w:t>
                  </w:r>
                  <w:r>
                    <w:rPr>
                      <w:rFonts w:hint="default" w:ascii="Times New Roman" w:hAnsi="Times New Roman" w:eastAsia="宋体" w:cs="Times New Roman"/>
                      <w:color w:val="auto"/>
                      <w:sz w:val="21"/>
                      <w:szCs w:val="21"/>
                      <w:highlight w:val="none"/>
                      <w:vertAlign w:val="baseline"/>
                      <w:lang w:eastAsia="zh-CN"/>
                    </w:rPr>
                    <w:t>废气</w:t>
                  </w:r>
                  <w:r>
                    <w:rPr>
                      <w:rFonts w:hint="default" w:ascii="Times New Roman" w:hAnsi="Times New Roman" w:eastAsia="宋体" w:cs="Times New Roman"/>
                      <w:color w:val="auto"/>
                      <w:sz w:val="21"/>
                      <w:szCs w:val="21"/>
                      <w:highlight w:val="none"/>
                      <w:vertAlign w:val="baseline"/>
                      <w:lang w:val="en-US" w:eastAsia="zh-CN"/>
                    </w:rPr>
                    <w:t>VOCs浓度范围为</w:t>
                  </w:r>
                  <w:r>
                    <w:rPr>
                      <w:rFonts w:hint="default" w:ascii="Times New Roman" w:hAnsi="Times New Roman" w:cs="Times New Roman"/>
                      <w:color w:val="auto"/>
                      <w:sz w:val="21"/>
                      <w:szCs w:val="21"/>
                      <w:highlight w:val="none"/>
                      <w:vertAlign w:val="baseline"/>
                      <w:lang w:val="en-US" w:eastAsia="zh-CN"/>
                    </w:rPr>
                    <w:t>30.4</w:t>
                  </w:r>
                  <w:r>
                    <w:rPr>
                      <w:rFonts w:hint="default" w:ascii="Times New Roman" w:hAnsi="Times New Roman" w:eastAsia="宋体" w:cs="Times New Roman"/>
                      <w:color w:val="auto"/>
                      <w:sz w:val="21"/>
                      <w:szCs w:val="21"/>
                      <w:highlight w:val="none"/>
                      <w:vertAlign w:val="baseline"/>
                      <w:lang w:val="en-US" w:eastAsia="zh-CN"/>
                    </w:rPr>
                    <w:t>mg/</w:t>
                  </w:r>
                  <w:r>
                    <w:rPr>
                      <w:rFonts w:hint="default" w:ascii="Times New Roman" w:hAnsi="Times New Roman" w:cs="Times New Roman"/>
                      <w:color w:val="auto"/>
                      <w:sz w:val="21"/>
                      <w:szCs w:val="21"/>
                      <w:highlight w:val="none"/>
                      <w:vertAlign w:val="baseline"/>
                      <w:lang w:val="en-US" w:eastAsia="zh-CN"/>
                    </w:rPr>
                    <w:t>m³</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均</w:t>
                  </w:r>
                  <w:r>
                    <w:rPr>
                      <w:rFonts w:hint="default" w:ascii="Times New Roman" w:hAnsi="Times New Roman" w:eastAsia="宋体" w:cs="Times New Roman"/>
                      <w:color w:val="auto"/>
                      <w:sz w:val="21"/>
                      <w:szCs w:val="21"/>
                      <w:highlight w:val="none"/>
                      <w:vertAlign w:val="baseline"/>
                      <w:lang w:val="en-US" w:eastAsia="zh-CN"/>
                    </w:rPr>
                    <w:t>属于低浓度</w:t>
                  </w:r>
                  <w:r>
                    <w:rPr>
                      <w:rFonts w:hint="default" w:ascii="Times New Roman" w:hAnsi="Times New Roman" w:eastAsia="宋体" w:cs="Times New Roman"/>
                      <w:color w:val="auto"/>
                      <w:sz w:val="21"/>
                      <w:szCs w:val="21"/>
                      <w:highlight w:val="none"/>
                      <w:vertAlign w:val="baseline"/>
                    </w:rPr>
                    <w:t>VOCs废气</w:t>
                  </w:r>
                  <w:r>
                    <w:rPr>
                      <w:rFonts w:hint="default" w:ascii="Times New Roman" w:hAnsi="Times New Roman" w:cs="Times New Roman" w:eastAsiaTheme="minorEastAsia"/>
                      <w:color w:val="auto"/>
                      <w:sz w:val="21"/>
                      <w:szCs w:val="21"/>
                      <w:lang w:val="zh-CN"/>
                    </w:rPr>
                    <w:t>，均属于低浓度废气，经集气罩收集后由二级活性炭吸附治理后可达标排放。</w:t>
                  </w:r>
                </w:p>
              </w:tc>
              <w:tc>
                <w:tcPr>
                  <w:tcW w:w="42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30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w:t>
                  </w:r>
                </w:p>
              </w:tc>
              <w:tc>
                <w:tcPr>
                  <w:tcW w:w="305" w:type="pct"/>
                  <w:vMerge w:val="continue"/>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p>
              </w:tc>
              <w:tc>
                <w:tcPr>
                  <w:tcW w:w="1914"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rPr>
                    <w:t>对于含高浓度VOCs的废气，宜优先采用冷凝回收、吸附回收技术进行回收利用，并辅助以其他治理技术实现达标排放。</w:t>
                  </w:r>
                </w:p>
              </w:tc>
              <w:tc>
                <w:tcPr>
                  <w:tcW w:w="2048" w:type="pct"/>
                  <w:vMerge w:val="restart"/>
                  <w:vAlign w:val="center"/>
                </w:tcPr>
                <w:p>
                  <w:pPr>
                    <w:pageBreakBefore w:val="0"/>
                    <w:kinsoku/>
                    <w:wordWrap/>
                    <w:overflowPunct/>
                    <w:topLinePunct w:val="0"/>
                    <w:bidi w:val="0"/>
                    <w:ind w:firstLine="0" w:firstLineChars="0"/>
                    <w:jc w:val="left"/>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本项目使用原料均为钢化玻璃、JS8000建筑用双组份硅酮结构密封胶、丁基胶、分子筛、分子筛架、标签、铝间隔条</w:t>
                  </w:r>
                  <w:r>
                    <w:rPr>
                      <w:rFonts w:hint="default" w:ascii="Times New Roman" w:hAnsi="Times New Roman" w:cs="Times New Roman" w:eastAsiaTheme="minorEastAsia"/>
                      <w:color w:val="auto"/>
                      <w:sz w:val="21"/>
                      <w:szCs w:val="21"/>
                      <w:lang w:val="en-US" w:eastAsia="zh-CN"/>
                    </w:rPr>
                    <w:t>等</w:t>
                  </w:r>
                  <w:r>
                    <w:rPr>
                      <w:rFonts w:hint="default" w:ascii="Times New Roman" w:hAnsi="Times New Roman" w:cs="Times New Roman" w:eastAsiaTheme="minorEastAsia"/>
                      <w:color w:val="auto"/>
                      <w:sz w:val="21"/>
                      <w:szCs w:val="21"/>
                      <w:lang w:eastAsia="zh-CN"/>
                    </w:rPr>
                    <w:t>，</w:t>
                  </w:r>
                  <w:r>
                    <w:rPr>
                      <w:rFonts w:hint="default" w:ascii="Times New Roman" w:hAnsi="Times New Roman" w:eastAsia="宋体" w:cs="Times New Roman"/>
                      <w:color w:val="auto"/>
                      <w:sz w:val="21"/>
                      <w:szCs w:val="21"/>
                      <w:highlight w:val="none"/>
                      <w:vertAlign w:val="baseline"/>
                      <w:lang w:eastAsia="zh-CN"/>
                    </w:rPr>
                    <w:t>根据工程分析</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eastAsia="zh-CN"/>
                    </w:rPr>
                    <w:t>项目</w:t>
                  </w:r>
                  <w:r>
                    <w:rPr>
                      <w:rFonts w:hint="default" w:ascii="Times New Roman" w:hAnsi="Times New Roman" w:cs="Times New Roman"/>
                      <w:color w:val="auto"/>
                      <w:sz w:val="21"/>
                      <w:szCs w:val="21"/>
                      <w:highlight w:val="none"/>
                      <w:vertAlign w:val="baseline"/>
                      <w:lang w:val="en-US" w:eastAsia="zh-CN"/>
                    </w:rPr>
                    <w:t>封胶</w:t>
                  </w:r>
                  <w:r>
                    <w:rPr>
                      <w:rFonts w:hint="default" w:ascii="Times New Roman" w:hAnsi="Times New Roman" w:eastAsia="宋体" w:cs="Times New Roman"/>
                      <w:color w:val="auto"/>
                      <w:sz w:val="21"/>
                      <w:szCs w:val="21"/>
                      <w:highlight w:val="none"/>
                      <w:vertAlign w:val="baseline"/>
                      <w:lang w:eastAsia="zh-CN"/>
                    </w:rPr>
                    <w:t>废气</w:t>
                  </w:r>
                  <w:r>
                    <w:rPr>
                      <w:rFonts w:hint="default" w:ascii="Times New Roman" w:hAnsi="Times New Roman" w:eastAsia="宋体" w:cs="Times New Roman"/>
                      <w:color w:val="auto"/>
                      <w:sz w:val="21"/>
                      <w:szCs w:val="21"/>
                      <w:highlight w:val="none"/>
                      <w:vertAlign w:val="baseline"/>
                      <w:lang w:val="en-US" w:eastAsia="zh-CN"/>
                    </w:rPr>
                    <w:t>VOCs浓度范围为</w:t>
                  </w:r>
                  <w:r>
                    <w:rPr>
                      <w:rFonts w:hint="default" w:ascii="Times New Roman" w:hAnsi="Times New Roman" w:cs="Times New Roman"/>
                      <w:color w:val="auto"/>
                      <w:sz w:val="21"/>
                      <w:szCs w:val="21"/>
                      <w:highlight w:val="none"/>
                      <w:vertAlign w:val="baseline"/>
                      <w:lang w:val="en-US" w:eastAsia="zh-CN"/>
                    </w:rPr>
                    <w:t>30.4</w:t>
                  </w:r>
                  <w:r>
                    <w:rPr>
                      <w:rFonts w:hint="default" w:ascii="Times New Roman" w:hAnsi="Times New Roman" w:eastAsia="宋体" w:cs="Times New Roman"/>
                      <w:color w:val="auto"/>
                      <w:sz w:val="21"/>
                      <w:szCs w:val="21"/>
                      <w:highlight w:val="none"/>
                      <w:vertAlign w:val="baseline"/>
                      <w:lang w:val="en-US" w:eastAsia="zh-CN"/>
                    </w:rPr>
                    <w:t>mg/</w:t>
                  </w:r>
                  <w:r>
                    <w:rPr>
                      <w:rFonts w:hint="default" w:ascii="Times New Roman" w:hAnsi="Times New Roman" w:cs="Times New Roman"/>
                      <w:color w:val="auto"/>
                      <w:sz w:val="21"/>
                      <w:szCs w:val="21"/>
                      <w:highlight w:val="none"/>
                      <w:vertAlign w:val="baseline"/>
                      <w:lang w:val="en-US" w:eastAsia="zh-CN"/>
                    </w:rPr>
                    <w:t>m³</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均</w:t>
                  </w:r>
                  <w:r>
                    <w:rPr>
                      <w:rFonts w:hint="default" w:ascii="Times New Roman" w:hAnsi="Times New Roman" w:eastAsia="宋体" w:cs="Times New Roman"/>
                      <w:color w:val="auto"/>
                      <w:sz w:val="21"/>
                      <w:szCs w:val="21"/>
                      <w:highlight w:val="none"/>
                      <w:vertAlign w:val="baseline"/>
                      <w:lang w:val="en-US" w:eastAsia="zh-CN"/>
                    </w:rPr>
                    <w:t>属于低浓度</w:t>
                  </w:r>
                  <w:r>
                    <w:rPr>
                      <w:rFonts w:hint="default" w:ascii="Times New Roman" w:hAnsi="Times New Roman" w:eastAsia="宋体" w:cs="Times New Roman"/>
                      <w:color w:val="auto"/>
                      <w:sz w:val="21"/>
                      <w:szCs w:val="21"/>
                      <w:highlight w:val="none"/>
                      <w:vertAlign w:val="baseline"/>
                    </w:rPr>
                    <w:t>VOCs废气</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eastAsia="zh-CN"/>
                    </w:rPr>
                    <w:t>燃</w:t>
                  </w:r>
                  <w:r>
                    <w:rPr>
                      <w:rFonts w:hint="default" w:ascii="Times New Roman" w:hAnsi="Times New Roman" w:eastAsia="宋体" w:cs="Times New Roman"/>
                      <w:color w:val="auto"/>
                      <w:sz w:val="21"/>
                      <w:szCs w:val="21"/>
                      <w:highlight w:val="none"/>
                      <w:vertAlign w:val="baseline"/>
                      <w:lang w:val="en-US" w:eastAsia="zh-CN"/>
                    </w:rPr>
                    <w:t>VOCs浓度为80mg/</w:t>
                  </w:r>
                  <w:r>
                    <w:rPr>
                      <w:rFonts w:hint="default" w:ascii="Times New Roman" w:hAnsi="Times New Roman" w:cs="Times New Roman"/>
                      <w:color w:val="auto"/>
                      <w:sz w:val="21"/>
                      <w:szCs w:val="21"/>
                      <w:highlight w:val="none"/>
                      <w:vertAlign w:val="baseline"/>
                      <w:lang w:val="en-US" w:eastAsia="zh-CN"/>
                    </w:rPr>
                    <w:t>m³，</w:t>
                  </w:r>
                  <w:r>
                    <w:rPr>
                      <w:rFonts w:hint="default" w:ascii="Times New Roman" w:hAnsi="Times New Roman" w:eastAsia="宋体" w:cs="Times New Roman"/>
                      <w:color w:val="auto"/>
                      <w:sz w:val="21"/>
                      <w:szCs w:val="21"/>
                      <w:highlight w:val="none"/>
                      <w:vertAlign w:val="baseline"/>
                      <w:lang w:val="en-US" w:eastAsia="zh-CN"/>
                    </w:rPr>
                    <w:t>均属于低浓度废气，</w:t>
                  </w:r>
                  <w:r>
                    <w:rPr>
                      <w:rFonts w:hint="default" w:ascii="Times New Roman" w:hAnsi="Times New Roman" w:cs="Times New Roman" w:eastAsiaTheme="minorEastAsia"/>
                      <w:color w:val="auto"/>
                      <w:sz w:val="21"/>
                      <w:szCs w:val="21"/>
                      <w:highlight w:val="none"/>
                      <w:lang w:val="zh-CN"/>
                    </w:rPr>
                    <w:t>经集气罩收集后由二级活性炭吸附治理后可达标排放。</w:t>
                  </w:r>
                </w:p>
              </w:tc>
              <w:tc>
                <w:tcPr>
                  <w:tcW w:w="42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jc w:val="center"/>
              </w:trPr>
              <w:tc>
                <w:tcPr>
                  <w:tcW w:w="30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w:t>
                  </w:r>
                </w:p>
              </w:tc>
              <w:tc>
                <w:tcPr>
                  <w:tcW w:w="305" w:type="pct"/>
                  <w:vMerge w:val="continue"/>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p>
              </w:tc>
              <w:tc>
                <w:tcPr>
                  <w:tcW w:w="1914"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rPr>
                    <w:t>对于含中等浓度VOCs的废气，可采用吸附技术回收有机溶剂，或采用催化燃烧和热力焚烧技术净化后达标排放。当采用催化燃烧和热力焚烧技术进行净化时，应进行余热回收利用。</w:t>
                  </w:r>
                </w:p>
              </w:tc>
              <w:tc>
                <w:tcPr>
                  <w:tcW w:w="2048" w:type="pct"/>
                  <w:vMerge w:val="continue"/>
                  <w:vAlign w:val="center"/>
                </w:tcPr>
                <w:p>
                  <w:pPr>
                    <w:pageBreakBefore w:val="0"/>
                    <w:kinsoku/>
                    <w:wordWrap/>
                    <w:overflowPunct/>
                    <w:topLinePunct w:val="0"/>
                    <w:bidi w:val="0"/>
                    <w:ind w:firstLine="0" w:firstLineChars="0"/>
                    <w:jc w:val="left"/>
                    <w:rPr>
                      <w:rFonts w:hint="default" w:ascii="Times New Roman" w:hAnsi="Times New Roman" w:cs="Times New Roman" w:eastAsiaTheme="minorEastAsia"/>
                      <w:color w:val="auto"/>
                      <w:sz w:val="21"/>
                      <w:szCs w:val="21"/>
                    </w:rPr>
                  </w:pPr>
                </w:p>
              </w:tc>
              <w:tc>
                <w:tcPr>
                  <w:tcW w:w="42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9" w:hRule="atLeast"/>
                <w:jc w:val="center"/>
              </w:trPr>
              <w:tc>
                <w:tcPr>
                  <w:tcW w:w="30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c>
                <w:tcPr>
                  <w:tcW w:w="305" w:type="pct"/>
                  <w:vMerge w:val="continue"/>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p>
              </w:tc>
              <w:tc>
                <w:tcPr>
                  <w:tcW w:w="1914"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048" w:type="pct"/>
                  <w:vMerge w:val="continue"/>
                  <w:vAlign w:val="center"/>
                </w:tcPr>
                <w:p>
                  <w:pPr>
                    <w:pageBreakBefore w:val="0"/>
                    <w:kinsoku/>
                    <w:wordWrap/>
                    <w:overflowPunct/>
                    <w:topLinePunct w:val="0"/>
                    <w:bidi w:val="0"/>
                    <w:ind w:firstLine="0" w:firstLineChars="0"/>
                    <w:jc w:val="left"/>
                    <w:rPr>
                      <w:rFonts w:hint="default" w:ascii="Times New Roman" w:hAnsi="Times New Roman" w:cs="Times New Roman" w:eastAsiaTheme="minorEastAsia"/>
                      <w:color w:val="auto"/>
                      <w:sz w:val="21"/>
                      <w:szCs w:val="21"/>
                    </w:rPr>
                  </w:pPr>
                </w:p>
              </w:tc>
              <w:tc>
                <w:tcPr>
                  <w:tcW w:w="42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30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w:t>
                  </w:r>
                </w:p>
              </w:tc>
              <w:tc>
                <w:tcPr>
                  <w:tcW w:w="305" w:type="pct"/>
                  <w:vMerge w:val="continue"/>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p>
              </w:tc>
              <w:tc>
                <w:tcPr>
                  <w:tcW w:w="1914" w:type="pct"/>
                  <w:vAlign w:val="center"/>
                </w:tcPr>
                <w:p>
                  <w:pPr>
                    <w:pageBreakBefore w:val="0"/>
                    <w:kinsoku/>
                    <w:wordWrap/>
                    <w:overflowPunct/>
                    <w:topLinePunct w:val="0"/>
                    <w:bidi w:val="0"/>
                    <w:ind w:firstLine="0" w:firstLineChars="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rPr>
                    <w:t>含有有机卤素成分VOCs的废气，宜采用非焚烧技术处理。</w:t>
                  </w:r>
                </w:p>
              </w:tc>
              <w:tc>
                <w:tcPr>
                  <w:tcW w:w="2048" w:type="pct"/>
                  <w:vAlign w:val="center"/>
                </w:tcPr>
                <w:p>
                  <w:pPr>
                    <w:pageBreakBefore w:val="0"/>
                    <w:kinsoku/>
                    <w:wordWrap/>
                    <w:overflowPunct/>
                    <w:topLinePunct w:val="0"/>
                    <w:bidi w:val="0"/>
                    <w:ind w:firstLine="0" w:firstLineChars="0"/>
                    <w:jc w:val="left"/>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项目</w:t>
                  </w:r>
                  <w:r>
                    <w:rPr>
                      <w:rFonts w:hint="default" w:ascii="Times New Roman" w:hAnsi="Times New Roman" w:cs="Times New Roman" w:eastAsiaTheme="minorEastAsia"/>
                      <w:color w:val="auto"/>
                      <w:sz w:val="21"/>
                      <w:szCs w:val="21"/>
                      <w:lang w:val="en-US" w:eastAsia="zh-CN"/>
                    </w:rPr>
                    <w:t>合胶、密封</w:t>
                  </w:r>
                  <w:r>
                    <w:rPr>
                      <w:rFonts w:hint="default" w:ascii="Times New Roman" w:hAnsi="Times New Roman" w:eastAsia="宋体" w:cs="Times New Roman"/>
                      <w:b w:val="0"/>
                      <w:bCs w:val="0"/>
                      <w:color w:val="auto"/>
                      <w:kern w:val="0"/>
                      <w:sz w:val="21"/>
                      <w:szCs w:val="21"/>
                      <w:vertAlign w:val="baseline"/>
                      <w:lang w:val="en-US" w:eastAsia="zh-CN"/>
                    </w:rPr>
                    <w:t>过程产生的VOCs</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rPr>
                    <w:t>经</w:t>
                  </w:r>
                  <w:r>
                    <w:rPr>
                      <w:rFonts w:hint="default" w:ascii="Times New Roman" w:hAnsi="Times New Roman" w:eastAsia="宋体" w:cs="Times New Roman"/>
                      <w:color w:val="auto"/>
                      <w:spacing w:val="11"/>
                      <w:sz w:val="21"/>
                      <w:szCs w:val="21"/>
                      <w:lang w:val="en-US" w:eastAsia="zh-CN"/>
                    </w:rPr>
                    <w:t>二级活性炭</w:t>
                  </w:r>
                  <w:r>
                    <w:rPr>
                      <w:rFonts w:hint="default" w:ascii="Times New Roman" w:hAnsi="Times New Roman" w:cs="Times New Roman"/>
                      <w:color w:val="auto"/>
                      <w:spacing w:val="11"/>
                      <w:sz w:val="21"/>
                      <w:szCs w:val="21"/>
                    </w:rPr>
                    <w:t>活性炭吸附设备</w:t>
                  </w:r>
                  <w:r>
                    <w:rPr>
                      <w:rFonts w:hint="default" w:ascii="Times New Roman" w:hAnsi="Times New Roman" w:cs="Times New Roman" w:eastAsiaTheme="minorEastAsia"/>
                      <w:color w:val="auto"/>
                      <w:sz w:val="21"/>
                      <w:szCs w:val="21"/>
                    </w:rPr>
                    <w:t>处理后</w:t>
                  </w:r>
                  <w:r>
                    <w:rPr>
                      <w:rFonts w:hint="default" w:ascii="Times New Roman" w:hAnsi="Times New Roman" w:cs="Times New Roman" w:eastAsiaTheme="minorEastAsia"/>
                      <w:color w:val="auto"/>
                      <w:sz w:val="21"/>
                      <w:szCs w:val="21"/>
                      <w:lang w:val="en-US" w:eastAsia="zh-CN"/>
                    </w:rPr>
                    <w:t>可达标</w:t>
                  </w:r>
                  <w:r>
                    <w:rPr>
                      <w:rFonts w:hint="default" w:ascii="Times New Roman" w:hAnsi="Times New Roman" w:cs="Times New Roman" w:eastAsiaTheme="minorEastAsia"/>
                      <w:color w:val="auto"/>
                      <w:sz w:val="21"/>
                      <w:szCs w:val="21"/>
                    </w:rPr>
                    <w:t>排放，治理工艺属于非焚烧技术</w:t>
                  </w:r>
                  <w:r>
                    <w:rPr>
                      <w:rFonts w:hint="default" w:ascii="Times New Roman" w:hAnsi="Times New Roman" w:cs="Times New Roman" w:eastAsiaTheme="minorEastAsia"/>
                      <w:color w:val="auto"/>
                      <w:sz w:val="21"/>
                      <w:szCs w:val="21"/>
                      <w:lang w:eastAsia="zh-CN"/>
                    </w:rPr>
                    <w:t>。</w:t>
                  </w:r>
                </w:p>
              </w:tc>
              <w:tc>
                <w:tcPr>
                  <w:tcW w:w="42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8" w:hRule="atLeast"/>
                <w:jc w:val="center"/>
              </w:trPr>
              <w:tc>
                <w:tcPr>
                  <w:tcW w:w="30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w:t>
                  </w:r>
                </w:p>
              </w:tc>
              <w:tc>
                <w:tcPr>
                  <w:tcW w:w="305" w:type="pct"/>
                  <w:vMerge w:val="continue"/>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p>
              </w:tc>
              <w:tc>
                <w:tcPr>
                  <w:tcW w:w="1914"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rPr>
                    <w:t>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2048"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本项目不产生恶臭气体</w:t>
                  </w:r>
                </w:p>
              </w:tc>
              <w:tc>
                <w:tcPr>
                  <w:tcW w:w="42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30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13</w:t>
                  </w:r>
                </w:p>
              </w:tc>
              <w:tc>
                <w:tcPr>
                  <w:tcW w:w="305" w:type="pct"/>
                  <w:vMerge w:val="continue"/>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p>
              </w:tc>
              <w:tc>
                <w:tcPr>
                  <w:tcW w:w="1914"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rPr>
                    <w:t>严格控制VOCs处理过程中产生的二次污染，对于催化燃烧和热力焚烧过程中产生的含硫、氮、氯等无机废气，以及吸附、吸收、冷凝、生物等治理过程中所产生的含有机物废水，应处理后达标排放。</w:t>
                  </w:r>
                </w:p>
              </w:tc>
              <w:tc>
                <w:tcPr>
                  <w:tcW w:w="2048"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w:t>
                  </w:r>
                  <w:r>
                    <w:rPr>
                      <w:rFonts w:hint="default" w:ascii="Times New Roman" w:hAnsi="Times New Roman" w:cs="Times New Roman" w:eastAsiaTheme="minorEastAsia"/>
                      <w:color w:val="auto"/>
                      <w:sz w:val="21"/>
                      <w:szCs w:val="21"/>
                      <w:lang w:val="en-US" w:eastAsia="zh-CN"/>
                    </w:rPr>
                    <w:t>合胶、密封</w:t>
                  </w:r>
                  <w:r>
                    <w:rPr>
                      <w:rFonts w:hint="default" w:ascii="Times New Roman" w:hAnsi="Times New Roman" w:eastAsia="宋体" w:cs="Times New Roman"/>
                      <w:b w:val="0"/>
                      <w:bCs w:val="0"/>
                      <w:color w:val="auto"/>
                      <w:kern w:val="0"/>
                      <w:sz w:val="21"/>
                      <w:szCs w:val="21"/>
                      <w:vertAlign w:val="baseline"/>
                      <w:lang w:val="en-US" w:eastAsia="zh-CN"/>
                    </w:rPr>
                    <w:t>过程</w:t>
                  </w:r>
                  <w:r>
                    <w:rPr>
                      <w:rFonts w:hint="default" w:ascii="Times New Roman" w:hAnsi="Times New Roman" w:cs="Times New Roman" w:eastAsiaTheme="minorEastAsia"/>
                      <w:color w:val="auto"/>
                      <w:sz w:val="21"/>
                      <w:szCs w:val="21"/>
                    </w:rPr>
                    <w:t>上方分别设置集气罩将挤塑废气统一收集进入“</w:t>
                  </w:r>
                  <w:r>
                    <w:rPr>
                      <w:rFonts w:hint="default" w:ascii="Times New Roman" w:hAnsi="Times New Roman" w:cs="Times New Roman" w:eastAsiaTheme="minorEastAsia"/>
                      <w:color w:val="auto"/>
                      <w:sz w:val="21"/>
                      <w:szCs w:val="21"/>
                      <w:lang w:eastAsia="zh-CN"/>
                    </w:rPr>
                    <w:t>二级活性炭活性炭吸附设备</w:t>
                  </w:r>
                  <w:r>
                    <w:rPr>
                      <w:rFonts w:hint="default" w:ascii="Times New Roman" w:hAnsi="Times New Roman" w:cs="Times New Roman" w:eastAsiaTheme="minorEastAsia"/>
                      <w:color w:val="auto"/>
                      <w:sz w:val="21"/>
                      <w:szCs w:val="21"/>
                    </w:rPr>
                    <w:t>”处理达标后由15m高排气筒排放。在采取相应的对策措施后，项目废气污染物均能达标排放。废气治理过程不涉及含有机物废水。</w:t>
                  </w:r>
                </w:p>
              </w:tc>
              <w:tc>
                <w:tcPr>
                  <w:tcW w:w="42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5" w:hRule="atLeast"/>
                <w:jc w:val="center"/>
              </w:trPr>
              <w:tc>
                <w:tcPr>
                  <w:tcW w:w="30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14</w:t>
                  </w:r>
                </w:p>
              </w:tc>
              <w:tc>
                <w:tcPr>
                  <w:tcW w:w="305" w:type="pct"/>
                  <w:vMerge w:val="continue"/>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p>
              </w:tc>
              <w:tc>
                <w:tcPr>
                  <w:tcW w:w="1914"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rPr>
                    <w:t>对于不能再生的过滤材料、吸附剂及催化剂等净化材料，应按照国家固体废物管理的相关规定处理处置。</w:t>
                  </w:r>
                </w:p>
              </w:tc>
              <w:tc>
                <w:tcPr>
                  <w:tcW w:w="2048"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spacing w:val="11"/>
                      <w:sz w:val="21"/>
                      <w:szCs w:val="21"/>
                    </w:rPr>
                    <w:t>项目运营期产生的生活垃圾、餐饮垃圾、</w:t>
                  </w:r>
                  <w:r>
                    <w:rPr>
                      <w:rFonts w:hint="eastAsia" w:cs="Times New Roman"/>
                      <w:spacing w:val="11"/>
                      <w:sz w:val="21"/>
                      <w:szCs w:val="21"/>
                      <w:lang w:eastAsia="zh-CN"/>
                    </w:rPr>
                    <w:t>油水分离器</w:t>
                  </w:r>
                  <w:r>
                    <w:rPr>
                      <w:rFonts w:hint="default" w:ascii="Times New Roman" w:hAnsi="Times New Roman" w:cs="Times New Roman"/>
                      <w:spacing w:val="11"/>
                      <w:sz w:val="21"/>
                      <w:szCs w:val="21"/>
                    </w:rPr>
                    <w:t>油污、化粪池污泥、一体化污水处理设施交与云南鑫成鹏高分子科技有限公司一同委托环卫部门定期清掏和清运处置。废玻璃边角料、玻璃次品、包装固废、沉淀槽收集的玻璃碎屑外售回收处理、废弃密封胶桶由由厂家昆明博亚节能材料有限公司定期回收，废活</w:t>
                  </w:r>
                  <w:r>
                    <w:rPr>
                      <w:rFonts w:hint="default" w:ascii="Times New Roman" w:hAnsi="Times New Roman" w:cs="Times New Roman"/>
                      <w:spacing w:val="12"/>
                      <w:sz w:val="21"/>
                      <w:szCs w:val="21"/>
                    </w:rPr>
                    <w:t>性炭、废润滑油、废润滑油桶、废含油手</w:t>
                  </w:r>
                  <w:r>
                    <w:rPr>
                      <w:rFonts w:hint="default" w:ascii="Times New Roman" w:hAnsi="Times New Roman" w:cs="Times New Roman"/>
                      <w:spacing w:val="11"/>
                      <w:sz w:val="21"/>
                      <w:szCs w:val="21"/>
                    </w:rPr>
                    <w:t>套委托</w:t>
                  </w:r>
                  <w:r>
                    <w:rPr>
                      <w:rFonts w:hint="default" w:ascii="Times New Roman" w:hAnsi="Times New Roman" w:cs="Times New Roman"/>
                      <w:spacing w:val="11"/>
                      <w:sz w:val="21"/>
                      <w:szCs w:val="21"/>
                      <w:lang w:eastAsia="zh-CN"/>
                    </w:rPr>
                    <w:t>有资质单位清运处置</w:t>
                  </w:r>
                  <w:r>
                    <w:rPr>
                      <w:rFonts w:hint="default" w:ascii="Times New Roman" w:hAnsi="Times New Roman" w:cs="Times New Roman"/>
                      <w:spacing w:val="6"/>
                      <w:sz w:val="21"/>
                      <w:szCs w:val="21"/>
                    </w:rPr>
                    <w:t>。</w:t>
                  </w:r>
                </w:p>
              </w:tc>
              <w:tc>
                <w:tcPr>
                  <w:tcW w:w="425" w:type="pct"/>
                  <w:vAlign w:val="center"/>
                </w:tcPr>
                <w:p>
                  <w:pPr>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综上，</w:t>
            </w:r>
            <w:r>
              <w:rPr>
                <w:rFonts w:hint="default" w:ascii="Times New Roman" w:hAnsi="Times New Roman" w:cs="Times New Roman" w:eastAsiaTheme="minorEastAsia"/>
                <w:color w:val="auto"/>
                <w:kern w:val="0"/>
                <w:szCs w:val="21"/>
              </w:rPr>
              <w:t>项目建设与</w:t>
            </w:r>
            <w:r>
              <w:rPr>
                <w:rFonts w:hint="default" w:ascii="Times New Roman" w:hAnsi="Times New Roman" w:cs="Times New Roman" w:eastAsiaTheme="minorEastAsia"/>
                <w:color w:val="auto"/>
                <w:szCs w:val="21"/>
              </w:rPr>
              <w:t>《挥发性有机物污染防治技术政策》相关要求相符。</w:t>
            </w:r>
          </w:p>
          <w:p>
            <w:pPr>
              <w:bidi w:val="0"/>
              <w:rPr>
                <w:rFonts w:hint="default" w:ascii="Times New Roman" w:hAnsi="Times New Roman" w:eastAsia="宋体" w:cs="Times New Roman"/>
                <w:b/>
                <w:bCs/>
              </w:rPr>
            </w:pPr>
            <w:r>
              <w:rPr>
                <w:rFonts w:hint="default" w:ascii="Times New Roman" w:hAnsi="Times New Roman" w:cs="Times New Roman"/>
                <w:b/>
                <w:bCs/>
                <w:lang w:val="en-US" w:eastAsia="zh-CN"/>
              </w:rPr>
              <w:t>9、</w:t>
            </w:r>
            <w:r>
              <w:rPr>
                <w:rFonts w:hint="default" w:ascii="Times New Roman" w:hAnsi="Times New Roman" w:eastAsia="宋体" w:cs="Times New Roman"/>
                <w:b/>
                <w:bCs/>
              </w:rPr>
              <w:t>与《长江经济带发展负面清单指南实施细则》（试行，2022年版）相符性分析</w:t>
            </w:r>
          </w:p>
          <w:p>
            <w:pPr>
              <w:bidi w:val="0"/>
              <w:rPr>
                <w:rFonts w:hint="default" w:ascii="Times New Roman" w:hAnsi="Times New Roman" w:eastAsia="宋体" w:cs="Times New Roman"/>
              </w:rPr>
            </w:pPr>
            <w:r>
              <w:rPr>
                <w:rFonts w:hint="default" w:ascii="Times New Roman" w:hAnsi="Times New Roman" w:eastAsia="宋体" w:cs="Times New Roman"/>
              </w:rPr>
              <w:t>项目与《长江经济带发展负面清单指南实施细则》（试行，2022年版）符合性分析详见下表1-</w:t>
            </w:r>
            <w:r>
              <w:rPr>
                <w:rFonts w:hint="default" w:ascii="Times New Roman" w:hAnsi="Times New Roman" w:eastAsia="宋体" w:cs="Times New Roman"/>
                <w:lang w:val="en-US" w:eastAsia="zh-CN"/>
              </w:rPr>
              <w:t>9</w:t>
            </w:r>
            <w:r>
              <w:rPr>
                <w:rFonts w:hint="default" w:ascii="Times New Roman" w:hAnsi="Times New Roman" w:eastAsia="宋体" w:cs="Times New Roman"/>
              </w:rPr>
              <w:t>。</w:t>
            </w:r>
          </w:p>
          <w:p>
            <w:pPr>
              <w:pStyle w:val="36"/>
              <w:rPr>
                <w:rFonts w:hint="default" w:ascii="Times New Roman" w:hAnsi="Times New Roman" w:eastAsia="宋体" w:cs="Times New Roman"/>
              </w:rPr>
            </w:pPr>
            <w:r>
              <w:rPr>
                <w:rFonts w:hint="default" w:ascii="Times New Roman" w:hAnsi="Times New Roman" w:eastAsia="宋体" w:cs="Times New Roman"/>
              </w:rPr>
              <w:t>表1-</w:t>
            </w:r>
            <w:r>
              <w:rPr>
                <w:rFonts w:hint="default" w:ascii="Times New Roman" w:hAnsi="Times New Roman" w:cs="Times New Roman"/>
                <w:lang w:val="en-US" w:eastAsia="zh-CN"/>
              </w:rPr>
              <w:t>9</w:t>
            </w:r>
            <w:r>
              <w:rPr>
                <w:rFonts w:hint="default" w:ascii="Times New Roman" w:hAnsi="Times New Roman" w:eastAsia="宋体" w:cs="Times New Roman"/>
              </w:rPr>
              <w:t>项目选址与《长江经济带发展负面清单指南实施细则》（试行，2022年版）相符性分析表</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09"/>
              <w:gridCol w:w="3298"/>
              <w:gridCol w:w="2672"/>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3" w:type="pct"/>
                  <w:noWrap w:val="0"/>
                  <w:vAlign w:val="center"/>
                </w:tcPr>
                <w:p>
                  <w:pPr>
                    <w:pStyle w:val="45"/>
                    <w:bidi w:val="0"/>
                    <w:rPr>
                      <w:rFonts w:hint="default" w:ascii="Times New Roman" w:hAnsi="Times New Roman" w:cs="Times New Roman"/>
                      <w:b w:val="0"/>
                      <w:bCs/>
                      <w:lang w:eastAsia="en-US"/>
                    </w:rPr>
                  </w:pPr>
                  <w:r>
                    <w:rPr>
                      <w:rFonts w:hint="default" w:ascii="Times New Roman" w:hAnsi="Times New Roman" w:cs="Times New Roman"/>
                      <w:b w:val="0"/>
                      <w:bCs/>
                      <w:lang w:eastAsia="en-US"/>
                    </w:rPr>
                    <w:t>序号</w:t>
                  </w:r>
                </w:p>
              </w:tc>
              <w:tc>
                <w:tcPr>
                  <w:tcW w:w="2235" w:type="pct"/>
                  <w:noWrap w:val="0"/>
                  <w:vAlign w:val="center"/>
                </w:tcPr>
                <w:p>
                  <w:pPr>
                    <w:pStyle w:val="45"/>
                    <w:bidi w:val="0"/>
                    <w:rPr>
                      <w:rFonts w:hint="default" w:ascii="Times New Roman" w:hAnsi="Times New Roman" w:cs="Times New Roman"/>
                      <w:b w:val="0"/>
                      <w:bCs/>
                      <w:lang w:eastAsia="en-US"/>
                    </w:rPr>
                  </w:pPr>
                  <w:r>
                    <w:rPr>
                      <w:rFonts w:hint="default" w:ascii="Times New Roman" w:hAnsi="Times New Roman" w:cs="Times New Roman"/>
                      <w:b w:val="0"/>
                      <w:bCs/>
                      <w:lang w:eastAsia="en-US"/>
                    </w:rPr>
                    <w:t>相关要求</w:t>
                  </w:r>
                </w:p>
              </w:tc>
              <w:tc>
                <w:tcPr>
                  <w:tcW w:w="1811" w:type="pct"/>
                  <w:noWrap w:val="0"/>
                  <w:vAlign w:val="center"/>
                </w:tcPr>
                <w:p>
                  <w:pPr>
                    <w:pStyle w:val="45"/>
                    <w:bidi w:val="0"/>
                    <w:rPr>
                      <w:rFonts w:hint="default" w:ascii="Times New Roman" w:hAnsi="Times New Roman" w:cs="Times New Roman"/>
                      <w:b w:val="0"/>
                      <w:bCs/>
                      <w:lang w:eastAsia="en-US"/>
                    </w:rPr>
                  </w:pPr>
                  <w:r>
                    <w:rPr>
                      <w:rFonts w:hint="default" w:ascii="Times New Roman" w:hAnsi="Times New Roman" w:cs="Times New Roman"/>
                      <w:b w:val="0"/>
                      <w:bCs/>
                      <w:lang w:eastAsia="en-US"/>
                    </w:rPr>
                    <w:t>本项目</w:t>
                  </w:r>
                </w:p>
              </w:tc>
              <w:tc>
                <w:tcPr>
                  <w:tcW w:w="539" w:type="pct"/>
                  <w:noWrap w:val="0"/>
                  <w:vAlign w:val="center"/>
                </w:tcPr>
                <w:p>
                  <w:pPr>
                    <w:pStyle w:val="45"/>
                    <w:bidi w:val="0"/>
                    <w:rPr>
                      <w:rFonts w:hint="default" w:ascii="Times New Roman" w:hAnsi="Times New Roman" w:cs="Times New Roman"/>
                      <w:b w:val="0"/>
                      <w:bCs/>
                      <w:lang w:eastAsia="en-US"/>
                    </w:rPr>
                  </w:pPr>
                  <w:r>
                    <w:rPr>
                      <w:rFonts w:hint="default" w:ascii="Times New Roman" w:hAnsi="Times New Roman" w:cs="Times New Roman"/>
                      <w:b w:val="0"/>
                      <w:bCs/>
                      <w:lang w:eastAsia="en-US"/>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3"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1</w:t>
                  </w:r>
                </w:p>
              </w:tc>
              <w:tc>
                <w:tcPr>
                  <w:tcW w:w="223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禁止建设不符合全国和省级港口布局规划以及港口总体规划的码头项目，禁止建设不符合《长江干线过江通道布局规划》的过长江通道项目。</w:t>
                  </w:r>
                </w:p>
              </w:tc>
              <w:tc>
                <w:tcPr>
                  <w:tcW w:w="1811"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项目位于</w:t>
                  </w:r>
                  <w:r>
                    <w:rPr>
                      <w:rFonts w:hint="default" w:ascii="Times New Roman" w:hAnsi="Times New Roman" w:cs="Times New Roman"/>
                      <w:b w:val="0"/>
                      <w:bCs/>
                      <w:lang w:eastAsia="zh-CN"/>
                    </w:rPr>
                    <w:t>云南澄江产业园区提古片区</w:t>
                  </w:r>
                  <w:r>
                    <w:rPr>
                      <w:rFonts w:hint="default" w:ascii="Times New Roman" w:hAnsi="Times New Roman" w:cs="Times New Roman"/>
                      <w:b w:val="0"/>
                      <w:bCs/>
                    </w:rPr>
                    <w:t>，项目用地为工业用地，</w:t>
                  </w:r>
                  <w:r>
                    <w:rPr>
                      <w:rFonts w:hint="default" w:ascii="Times New Roman" w:hAnsi="Times New Roman" w:cs="Times New Roman"/>
                      <w:b w:val="0"/>
                      <w:bCs/>
                      <w:lang w:val="en-US" w:eastAsia="zh-CN"/>
                    </w:rPr>
                    <w:t>与</w:t>
                  </w:r>
                  <w:r>
                    <w:rPr>
                      <w:rFonts w:hint="default" w:ascii="Times New Roman" w:hAnsi="Times New Roman" w:cs="Times New Roman"/>
                      <w:b w:val="0"/>
                      <w:bCs/>
                    </w:rPr>
                    <w:t>园区功能定位</w:t>
                  </w:r>
                  <w:r>
                    <w:rPr>
                      <w:rFonts w:hint="default" w:ascii="Times New Roman" w:hAnsi="Times New Roman" w:cs="Times New Roman"/>
                      <w:b w:val="0"/>
                      <w:bCs/>
                      <w:lang w:val="en-US" w:eastAsia="zh-CN"/>
                    </w:rPr>
                    <w:t>不冲突</w:t>
                  </w:r>
                  <w:r>
                    <w:rPr>
                      <w:rFonts w:hint="default" w:ascii="Times New Roman" w:hAnsi="Times New Roman" w:cs="Times New Roman"/>
                      <w:b w:val="0"/>
                      <w:bCs/>
                    </w:rPr>
                    <w:t>，未改变用途。</w:t>
                  </w:r>
                </w:p>
              </w:tc>
              <w:tc>
                <w:tcPr>
                  <w:tcW w:w="539"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3"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2</w:t>
                  </w:r>
                </w:p>
              </w:tc>
              <w:tc>
                <w:tcPr>
                  <w:tcW w:w="223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禁止在《全国重要江河湖泊水功能区划》划定的河段保护区、保留区内投资建设不利于水资源及自然生态保护的项目。</w:t>
                  </w:r>
                </w:p>
              </w:tc>
              <w:tc>
                <w:tcPr>
                  <w:tcW w:w="1811"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项目不在划定的河段保护区及保留区内。</w:t>
                  </w:r>
                </w:p>
              </w:tc>
              <w:tc>
                <w:tcPr>
                  <w:tcW w:w="539"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3"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3</w:t>
                  </w:r>
                </w:p>
              </w:tc>
              <w:tc>
                <w:tcPr>
                  <w:tcW w:w="223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p>
              </w:tc>
              <w:tc>
                <w:tcPr>
                  <w:tcW w:w="1811"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项目位于</w:t>
                  </w:r>
                  <w:r>
                    <w:rPr>
                      <w:rFonts w:hint="default" w:ascii="Times New Roman" w:hAnsi="Times New Roman" w:cs="Times New Roman"/>
                      <w:b w:val="0"/>
                      <w:bCs/>
                      <w:lang w:eastAsia="zh-CN"/>
                    </w:rPr>
                    <w:t>云南澄江产业园区提古片区</w:t>
                  </w:r>
                  <w:r>
                    <w:rPr>
                      <w:rFonts w:hint="default" w:ascii="Times New Roman" w:hAnsi="Times New Roman" w:cs="Times New Roman"/>
                      <w:b w:val="0"/>
                      <w:bCs/>
                    </w:rPr>
                    <w:t>，项目不在云南省生态保护红线范围内，符合生态保护红线要求。</w:t>
                  </w:r>
                </w:p>
              </w:tc>
              <w:tc>
                <w:tcPr>
                  <w:tcW w:w="539"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3"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4</w:t>
                  </w:r>
                </w:p>
              </w:tc>
              <w:tc>
                <w:tcPr>
                  <w:tcW w:w="223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禁止擅自占用和调整已经划定的永久基本农田特别是城市周边永久基本农田，不得多预留永久基本农田为建设占用留有空间，严禁通过擅自调整县乡土地利用总体规划规避占用永久基本农田的审批，严禁未经审批违法违规占用。禁止在永久基本农田范围内建窑、建房、建坟、挖沙、采石、采矿、取土、堆放固体废弃物或者进行其他破坏永久基本农田的活动；禁止任何单位和个⼈破坏永久基本农田耕作层；禁止任何单位和个⼈闲置、荒芜永久基本农田。禁止以设施农用地为名违规占用永久基本农田建设休闲旅游、仓储厂房等设施，坚决防止永久基本农田“非农化”。</w:t>
                  </w:r>
                </w:p>
              </w:tc>
              <w:tc>
                <w:tcPr>
                  <w:tcW w:w="1811"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项目所在区域已规划为工业园区，占地为建设用地，不在禁止范围内。</w:t>
                  </w:r>
                </w:p>
                <w:p>
                  <w:pPr>
                    <w:pStyle w:val="45"/>
                    <w:bidi w:val="0"/>
                    <w:rPr>
                      <w:rFonts w:hint="default" w:ascii="Times New Roman" w:hAnsi="Times New Roman" w:cs="Times New Roman"/>
                      <w:b w:val="0"/>
                      <w:bCs/>
                    </w:rPr>
                  </w:pPr>
                </w:p>
              </w:tc>
              <w:tc>
                <w:tcPr>
                  <w:tcW w:w="539"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3"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5</w:t>
                  </w:r>
                </w:p>
              </w:tc>
              <w:tc>
                <w:tcPr>
                  <w:tcW w:w="2235" w:type="pct"/>
                  <w:noWrap w:val="0"/>
                  <w:vAlign w:val="center"/>
                </w:tcPr>
                <w:p>
                  <w:pPr>
                    <w:pStyle w:val="45"/>
                    <w:bidi w:val="0"/>
                    <w:rPr>
                      <w:rFonts w:hint="eastAsia" w:ascii="Times New Roman" w:hAnsi="Times New Roman" w:eastAsia="宋体" w:cs="Times New Roman"/>
                      <w:b w:val="0"/>
                      <w:bCs/>
                      <w:lang w:eastAsia="zh-CN"/>
                    </w:rPr>
                  </w:pPr>
                  <w:r>
                    <w:rPr>
                      <w:rFonts w:hint="default" w:ascii="Times New Roman" w:hAnsi="Times New Roman" w:cs="Times New Roman"/>
                      <w:b w:val="0"/>
                      <w:bCs/>
                    </w:rPr>
                    <w:t>禁止在自然保护区核心区、缓冲区建设任何生产设施。禁止在自然保护区的实验区内建设污染环境、破坏资源或者景观的生产设施和污染物排放超过国家和地⽅规定的污染物排放标准的其他项目。禁止在</w:t>
                  </w:r>
                </w:p>
                <w:p>
                  <w:pPr>
                    <w:pStyle w:val="45"/>
                    <w:bidi w:val="0"/>
                    <w:rPr>
                      <w:rFonts w:hint="default" w:ascii="Times New Roman" w:hAnsi="Times New Roman" w:cs="Times New Roman"/>
                      <w:b w:val="0"/>
                      <w:bCs/>
                    </w:rPr>
                  </w:pPr>
                  <w:r>
                    <w:rPr>
                      <w:rFonts w:hint="default" w:ascii="Times New Roman" w:hAnsi="Times New Roman" w:cs="Times New Roman"/>
                      <w:b w:val="0"/>
                      <w:bCs/>
                    </w:rPr>
                    <w:t>自然保护区内进行砍伐、放牧、狩猎、捕捞、采药、开垦、烧荒、开矿、采石、挖沙等活动，法律、行政法规另有规定的除外。</w:t>
                  </w:r>
                </w:p>
              </w:tc>
              <w:tc>
                <w:tcPr>
                  <w:tcW w:w="1811"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项目位于</w:t>
                  </w:r>
                  <w:r>
                    <w:rPr>
                      <w:rFonts w:hint="default" w:ascii="Times New Roman" w:hAnsi="Times New Roman" w:cs="Times New Roman"/>
                      <w:b w:val="0"/>
                      <w:bCs/>
                      <w:lang w:eastAsia="zh-CN"/>
                    </w:rPr>
                    <w:t>云南澄江产业园区提古片区</w:t>
                  </w:r>
                  <w:r>
                    <w:rPr>
                      <w:rFonts w:hint="default" w:ascii="Times New Roman" w:hAnsi="Times New Roman" w:cs="Times New Roman"/>
                      <w:b w:val="0"/>
                      <w:bCs/>
                    </w:rPr>
                    <w:t>，不在自然保护区。</w:t>
                  </w:r>
                </w:p>
                <w:p>
                  <w:pPr>
                    <w:pStyle w:val="45"/>
                    <w:bidi w:val="0"/>
                    <w:rPr>
                      <w:rFonts w:hint="default" w:ascii="Times New Roman" w:hAnsi="Times New Roman" w:cs="Times New Roman"/>
                      <w:b w:val="0"/>
                      <w:bCs/>
                    </w:rPr>
                  </w:pPr>
                </w:p>
              </w:tc>
              <w:tc>
                <w:tcPr>
                  <w:tcW w:w="539"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3"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6</w:t>
                  </w:r>
                </w:p>
              </w:tc>
              <w:tc>
                <w:tcPr>
                  <w:tcW w:w="223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禁止风景名胜区规划未经批准前或者违反经批准的风景名胜区规划进行各类建设活动。禁止在风景名胜区内设立各类开发区和在核心景区内投资设宾馆、招待所、培训中心、疗养院以及与⻛景名胜资源保护无关的其他建筑物。禁止在风景名胜区内进行开山、采石、开矿、开荒、修坟立碑等破坏景观、植被和地形地貌的活动；禁止修建储存爆炸性、易燃性、放射性、毒害性、腐蚀性物品的设施。</w:t>
                  </w:r>
                </w:p>
              </w:tc>
              <w:tc>
                <w:tcPr>
                  <w:tcW w:w="1811"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项目位于</w:t>
                  </w:r>
                  <w:r>
                    <w:rPr>
                      <w:rFonts w:hint="default" w:ascii="Times New Roman" w:hAnsi="Times New Roman" w:cs="Times New Roman"/>
                      <w:b w:val="0"/>
                      <w:bCs/>
                      <w:lang w:eastAsia="zh-CN"/>
                    </w:rPr>
                    <w:t>云南澄江产业园区提古片区</w:t>
                  </w:r>
                  <w:r>
                    <w:rPr>
                      <w:rFonts w:hint="default" w:ascii="Times New Roman" w:hAnsi="Times New Roman" w:cs="Times New Roman"/>
                      <w:b w:val="0"/>
                      <w:bCs/>
                    </w:rPr>
                    <w:t>，不在风景名胜区。</w:t>
                  </w:r>
                </w:p>
                <w:p>
                  <w:pPr>
                    <w:pStyle w:val="45"/>
                    <w:bidi w:val="0"/>
                    <w:rPr>
                      <w:rFonts w:hint="default" w:ascii="Times New Roman" w:hAnsi="Times New Roman" w:cs="Times New Roman"/>
                      <w:b w:val="0"/>
                      <w:bCs/>
                    </w:rPr>
                  </w:pPr>
                </w:p>
              </w:tc>
              <w:tc>
                <w:tcPr>
                  <w:tcW w:w="539"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3"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7</w:t>
                  </w:r>
                </w:p>
              </w:tc>
              <w:tc>
                <w:tcPr>
                  <w:tcW w:w="223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禁止在饮用水水源⼀级保护区的岸线和河段范围内新建、改建、扩建与供水设施和保护水源无关的项目，以及网箱养殖、旅游等可能污染饮用水水体的投资建设项目。禁止在饮用水水源⼆级保护区的岸线和河段范围内新建、改建、扩建排放污染物的投资建设项目。</w:t>
                  </w:r>
                </w:p>
              </w:tc>
              <w:tc>
                <w:tcPr>
                  <w:tcW w:w="1811"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项目位于</w:t>
                  </w:r>
                  <w:r>
                    <w:rPr>
                      <w:rFonts w:hint="default" w:ascii="Times New Roman" w:hAnsi="Times New Roman" w:cs="Times New Roman"/>
                      <w:b w:val="0"/>
                      <w:bCs/>
                      <w:lang w:eastAsia="zh-CN"/>
                    </w:rPr>
                    <w:t>云南澄江产业园区提古片区</w:t>
                  </w:r>
                  <w:r>
                    <w:rPr>
                      <w:rFonts w:hint="default" w:ascii="Times New Roman" w:hAnsi="Times New Roman" w:cs="Times New Roman"/>
                      <w:b w:val="0"/>
                      <w:bCs/>
                    </w:rPr>
                    <w:t>，不在饮用水源保护区。</w:t>
                  </w:r>
                </w:p>
                <w:p>
                  <w:pPr>
                    <w:pStyle w:val="45"/>
                    <w:bidi w:val="0"/>
                    <w:rPr>
                      <w:rFonts w:hint="default" w:ascii="Times New Roman" w:hAnsi="Times New Roman" w:cs="Times New Roman"/>
                      <w:b w:val="0"/>
                      <w:bCs/>
                    </w:rPr>
                  </w:pPr>
                </w:p>
              </w:tc>
              <w:tc>
                <w:tcPr>
                  <w:tcW w:w="539"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3"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8</w:t>
                  </w:r>
                </w:p>
              </w:tc>
              <w:tc>
                <w:tcPr>
                  <w:tcW w:w="223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禁止在合规园区外新建、扩建钢铁、石化、化工、焦化、建材、有色等高污染项目。禁止新增钢铁、水泥、平板玻璃等行业建设产能，确有必要建设的，应按规定实施产能等量或减量置换。</w:t>
                  </w:r>
                </w:p>
              </w:tc>
              <w:tc>
                <w:tcPr>
                  <w:tcW w:w="1811"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项目位于合规园区内。</w:t>
                  </w:r>
                </w:p>
                <w:p>
                  <w:pPr>
                    <w:pStyle w:val="45"/>
                    <w:bidi w:val="0"/>
                    <w:rPr>
                      <w:rFonts w:hint="default" w:ascii="Times New Roman" w:hAnsi="Times New Roman" w:cs="Times New Roman"/>
                      <w:b w:val="0"/>
                      <w:bCs/>
                    </w:rPr>
                  </w:pPr>
                </w:p>
              </w:tc>
              <w:tc>
                <w:tcPr>
                  <w:tcW w:w="539"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3"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9</w:t>
                  </w:r>
                </w:p>
              </w:tc>
              <w:tc>
                <w:tcPr>
                  <w:tcW w:w="223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禁止新建、扩建法律法规和相关政策明令禁止的落后产能项目，依法依规淘汰不符合要求的电石炉及开放式电石炉、无化产回收的单⼀炼焦生产设施，依法依规淘汰不符合要求的硫铁矿制酸、硫磺制酸、黄磷生产、有钙焙烧铬化合物生产装置和有机—无机复混肥料、过磷酸钙和钙镁磷肥生产线。</w:t>
                  </w:r>
                </w:p>
              </w:tc>
              <w:tc>
                <w:tcPr>
                  <w:tcW w:w="1811"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项目不属于落后产能、依法依规淘汰的项目。</w:t>
                  </w:r>
                </w:p>
                <w:p>
                  <w:pPr>
                    <w:pStyle w:val="45"/>
                    <w:bidi w:val="0"/>
                    <w:rPr>
                      <w:rFonts w:hint="default" w:ascii="Times New Roman" w:hAnsi="Times New Roman" w:cs="Times New Roman"/>
                      <w:b w:val="0"/>
                      <w:bCs/>
                    </w:rPr>
                  </w:pPr>
                </w:p>
              </w:tc>
              <w:tc>
                <w:tcPr>
                  <w:tcW w:w="539"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3"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10</w:t>
                  </w:r>
                </w:p>
              </w:tc>
              <w:tc>
                <w:tcPr>
                  <w:tcW w:w="223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禁止列入《云南省城镇人口密集区危险化学品生产企业搬迁改造名单》的搬迁改造企业在原址新建、扩建危险化学品生产项目，加强搬迁入园、关闭退出企业腾退土地污染⻛险管控和治理修复，确保腾退土地符合规划用地土壤环境质量标准。</w:t>
                  </w:r>
                </w:p>
              </w:tc>
              <w:tc>
                <w:tcPr>
                  <w:tcW w:w="1811"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项目不属于《云南省城镇人口密集区危险化学品生产企业搬迁改造名单》的搬迁改造企业。</w:t>
                  </w:r>
                </w:p>
                <w:p>
                  <w:pPr>
                    <w:pStyle w:val="45"/>
                    <w:bidi w:val="0"/>
                    <w:rPr>
                      <w:rFonts w:hint="default" w:ascii="Times New Roman" w:hAnsi="Times New Roman" w:cs="Times New Roman"/>
                      <w:b w:val="0"/>
                      <w:bCs/>
                    </w:rPr>
                  </w:pPr>
                </w:p>
              </w:tc>
              <w:tc>
                <w:tcPr>
                  <w:tcW w:w="539"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相符</w:t>
                  </w:r>
                </w:p>
              </w:tc>
            </w:tr>
          </w:tbl>
          <w:p>
            <w:pPr>
              <w:ind w:firstLine="480"/>
              <w:rPr>
                <w:rFonts w:hint="default" w:ascii="Times New Roman" w:hAnsi="Times New Roman" w:eastAsia="宋体" w:cs="Times New Roman"/>
              </w:rPr>
            </w:pPr>
            <w:r>
              <w:rPr>
                <w:rFonts w:hint="default" w:ascii="Times New Roman" w:hAnsi="Times New Roman" w:eastAsia="宋体" w:cs="Times New Roman"/>
              </w:rPr>
              <w:t>由上表分析可知，项目符合《长江经济带发展负面清单指南实施细则》（试行，2022年版）相关要求，项目建设与长江经济带保护政策相符。</w:t>
            </w:r>
          </w:p>
          <w:p>
            <w:pPr>
              <w:ind w:firstLine="480"/>
              <w:rPr>
                <w:rFonts w:hint="eastAsia" w:ascii="Times New Roman" w:hAnsi="Times New Roman" w:eastAsia="宋体" w:cs="Times New Roman"/>
                <w:lang w:eastAsia="zh-CN"/>
              </w:rPr>
            </w:pPr>
            <w:r>
              <w:rPr>
                <w:rFonts w:hint="default" w:ascii="Times New Roman" w:hAnsi="Times New Roman" w:cs="Times New Roman"/>
                <w:lang w:val="en-US" w:eastAsia="zh-CN"/>
              </w:rPr>
              <w:t>10、</w:t>
            </w:r>
            <w:r>
              <w:rPr>
                <w:rFonts w:hint="default" w:ascii="Times New Roman" w:hAnsi="Times New Roman" w:eastAsia="宋体" w:cs="Times New Roman"/>
              </w:rPr>
              <w:t>与《云南省长江经济带发展负面清单指南实施细则（试行，2022年版）》的相符性分析</w:t>
            </w:r>
          </w:p>
          <w:p>
            <w:pPr>
              <w:ind w:firstLine="480"/>
              <w:rPr>
                <w:rFonts w:hint="default" w:ascii="Times New Roman" w:hAnsi="Times New Roman" w:eastAsia="宋体" w:cs="Times New Roman"/>
              </w:rPr>
            </w:pPr>
            <w:r>
              <w:rPr>
                <w:rFonts w:hint="default" w:ascii="Times New Roman" w:hAnsi="Times New Roman" w:eastAsia="宋体" w:cs="Times New Roman"/>
              </w:rPr>
              <w:t>项目与《云南省长江经济带发展负面清单指南实施细则（试行），2022中涉及内容的符合性分析如下表1-</w:t>
            </w:r>
            <w:r>
              <w:rPr>
                <w:rFonts w:hint="default" w:ascii="Times New Roman" w:hAnsi="Times New Roman" w:eastAsia="宋体" w:cs="Times New Roman"/>
                <w:lang w:val="en-US" w:eastAsia="zh-CN"/>
              </w:rPr>
              <w:t>10</w:t>
            </w:r>
            <w:r>
              <w:rPr>
                <w:rFonts w:hint="default" w:ascii="Times New Roman" w:hAnsi="Times New Roman" w:eastAsia="宋体" w:cs="Times New Roman"/>
              </w:rPr>
              <w:t>：</w:t>
            </w:r>
          </w:p>
          <w:p>
            <w:pPr>
              <w:pStyle w:val="36"/>
              <w:rPr>
                <w:rFonts w:hint="default" w:ascii="Times New Roman" w:hAnsi="Times New Roman" w:eastAsia="宋体" w:cs="Times New Roman"/>
              </w:rPr>
            </w:pPr>
            <w:r>
              <w:rPr>
                <w:rFonts w:hint="default" w:ascii="Times New Roman" w:hAnsi="Times New Roman" w:eastAsia="宋体" w:cs="Times New Roman"/>
              </w:rPr>
              <w:t>表1-</w:t>
            </w:r>
            <w:r>
              <w:rPr>
                <w:rFonts w:hint="default" w:ascii="Times New Roman" w:hAnsi="Times New Roman" w:cs="Times New Roman"/>
                <w:lang w:val="en-US" w:eastAsia="zh-CN"/>
              </w:rPr>
              <w:t>10</w:t>
            </w:r>
            <w:r>
              <w:rPr>
                <w:rFonts w:hint="default" w:ascii="Times New Roman" w:hAnsi="Times New Roman" w:eastAsia="宋体" w:cs="Times New Roman"/>
              </w:rPr>
              <w:t>与《云南省长江经济带发展负面清单指南实施细则（试行，2022年版）》符合性分析</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0"/>
              <w:gridCol w:w="2250"/>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实施细则要求</w:t>
                  </w:r>
                </w:p>
              </w:tc>
              <w:tc>
                <w:tcPr>
                  <w:tcW w:w="225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本项目情况</w:t>
                  </w:r>
                </w:p>
              </w:tc>
              <w:tc>
                <w:tcPr>
                  <w:tcW w:w="783"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二、禁止在生态保护红线范围内投资建设项目，生态保护红线内、自然保护地核心保护区原则上禁止人为活动；其他区域严格禁止开发性、生产性建设活动。除国家重大战略资源勘查项目、生态保护修复和环境治理项目、重大基础设施项目、军事国防项目以及农牧民基本生产生活等必要的民生项目以外的项目。生态保护红线原则上按禁止开发区域的要求进行管理外，仅允许对生态功能不造成破坏的有限人为活动。</w:t>
                  </w:r>
                </w:p>
              </w:tc>
              <w:tc>
                <w:tcPr>
                  <w:tcW w:w="225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本项目位于</w:t>
                  </w:r>
                  <w:r>
                    <w:rPr>
                      <w:rFonts w:hint="default" w:ascii="Times New Roman" w:hAnsi="Times New Roman" w:cs="Times New Roman"/>
                      <w:b w:val="0"/>
                      <w:bCs/>
                      <w:lang w:eastAsia="zh-CN"/>
                    </w:rPr>
                    <w:t>云南澄江产业园区提古片区</w:t>
                  </w:r>
                  <w:r>
                    <w:rPr>
                      <w:rFonts w:hint="default" w:ascii="Times New Roman" w:hAnsi="Times New Roman" w:cs="Times New Roman"/>
                      <w:b w:val="0"/>
                      <w:bCs/>
                    </w:rPr>
                    <w:t>内，不在生态保护红线范围内。</w:t>
                  </w:r>
                </w:p>
              </w:tc>
              <w:tc>
                <w:tcPr>
                  <w:tcW w:w="783"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三、禁止在自然保护区内进行砍伐、放牧、狩猎、捕捞、采药、开垦、烧荒、开矿、采石、挖沙等活动；禁止任何人进入自然保护区的核心区；禁止在自然保护区的缓冲区开展旅游和生产经营活动；严禁开设与自然保护区保护方向不一致的参观、旅游项目；在自然保护区的实验区内，不得建设污染环</w:t>
                  </w:r>
                  <w:r>
                    <w:rPr>
                      <w:rFonts w:hint="default" w:ascii="Times New Roman" w:hAnsi="Times New Roman" w:cs="Times New Roman"/>
                      <w:b w:val="0"/>
                      <w:bCs/>
                    </w:rPr>
                    <w:br w:type="textWrapping"/>
                  </w:r>
                  <w:r>
                    <w:rPr>
                      <w:rFonts w:hint="default" w:ascii="Times New Roman" w:hAnsi="Times New Roman" w:cs="Times New Roman"/>
                      <w:b w:val="0"/>
                      <w:bCs/>
                    </w:rPr>
                    <w:t>境、破坏资源或者景观的生产设施；自然保护区核心区，严禁任何生产经营活动；新建公路、铁路和其他基础设施不得穿越自然保护区核心区，尽量避免穿越缓冲区；禁止在自然保护区的核心区和缓冲区内建设畜禽养殖场、养殖小区。</w:t>
                  </w:r>
                </w:p>
              </w:tc>
              <w:tc>
                <w:tcPr>
                  <w:tcW w:w="2250" w:type="dxa"/>
                  <w:vMerge w:val="restar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本项目位于</w:t>
                  </w:r>
                  <w:r>
                    <w:rPr>
                      <w:rFonts w:hint="default" w:ascii="Times New Roman" w:hAnsi="Times New Roman" w:cs="Times New Roman"/>
                      <w:b w:val="0"/>
                      <w:bCs/>
                      <w:lang w:eastAsia="zh-CN"/>
                    </w:rPr>
                    <w:t>云南澄江产业园区提古片区</w:t>
                  </w:r>
                  <w:r>
                    <w:rPr>
                      <w:rFonts w:hint="default" w:ascii="Times New Roman" w:hAnsi="Times New Roman" w:cs="Times New Roman"/>
                      <w:b w:val="0"/>
                      <w:bCs/>
                    </w:rPr>
                    <w:t>内，</w:t>
                  </w:r>
                  <w:r>
                    <w:rPr>
                      <w:rFonts w:hint="default" w:ascii="Times New Roman" w:hAnsi="Times New Roman" w:cs="Times New Roman"/>
                      <w:b w:val="0"/>
                      <w:bCs/>
                    </w:rPr>
                    <w:br w:type="textWrapping"/>
                  </w:r>
                  <w:r>
                    <w:rPr>
                      <w:rFonts w:hint="default" w:ascii="Times New Roman" w:hAnsi="Times New Roman" w:cs="Times New Roman"/>
                      <w:b w:val="0"/>
                      <w:bCs/>
                    </w:rPr>
                    <w:t>不在自然保护区、风</w:t>
                  </w:r>
                  <w:r>
                    <w:rPr>
                      <w:rFonts w:hint="default" w:ascii="Times New Roman" w:hAnsi="Times New Roman" w:cs="Times New Roman"/>
                      <w:b w:val="0"/>
                      <w:bCs/>
                    </w:rPr>
                    <w:br w:type="textWrapping"/>
                  </w:r>
                  <w:r>
                    <w:rPr>
                      <w:rFonts w:hint="default" w:ascii="Times New Roman" w:hAnsi="Times New Roman" w:cs="Times New Roman"/>
                      <w:b w:val="0"/>
                      <w:bCs/>
                    </w:rPr>
                    <w:t>景名胜区范围内。</w:t>
                  </w:r>
                </w:p>
              </w:tc>
              <w:tc>
                <w:tcPr>
                  <w:tcW w:w="783" w:type="dxa"/>
                  <w:noWrap w:val="0"/>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四、禁止在风景名胜区内进行开山、采石、开矿、开荒、修坟立碑等破坏景观、植被和地形地貌的活动以及修建储存爆炸性、易燃性、放射性、毒害性、腐蚀性物品的设施；禁止违反风景名胜区规划，在风景名胜区内设立各类开发区和在核心景区内建设宾馆、招待所、培训中心、疗养院以及与风景名</w:t>
                  </w:r>
                  <w:r>
                    <w:rPr>
                      <w:rFonts w:hint="default" w:ascii="Times New Roman" w:hAnsi="Times New Roman" w:cs="Times New Roman"/>
                      <w:b w:val="0"/>
                      <w:bCs/>
                    </w:rPr>
                    <w:br w:type="textWrapping"/>
                  </w:r>
                  <w:r>
                    <w:rPr>
                      <w:rFonts w:hint="default" w:ascii="Times New Roman" w:hAnsi="Times New Roman" w:cs="Times New Roman"/>
                      <w:b w:val="0"/>
                      <w:bCs/>
                    </w:rPr>
                    <w:t>胜资源保护无关的其他建筑物；禁止在风景名胜区从事与风景名胜资源无关的生产建设活动；风景名胜区内的水源、水体应当严加保护，禁止污染水源、水体，禁止擅自围、填、堵塞水面和围湖造田等；禁止在风景名胜区内建设畜禽养殖场、养殖小区。</w:t>
                  </w:r>
                </w:p>
              </w:tc>
              <w:tc>
                <w:tcPr>
                  <w:tcW w:w="2250" w:type="dxa"/>
                  <w:vMerge w:val="continue"/>
                  <w:noWrap w:val="0"/>
                  <w:vAlign w:val="center"/>
                </w:tcPr>
                <w:p>
                  <w:pPr>
                    <w:pStyle w:val="45"/>
                    <w:bidi w:val="0"/>
                    <w:rPr>
                      <w:rFonts w:hint="default" w:ascii="Times New Roman" w:hAnsi="Times New Roman" w:cs="Times New Roman"/>
                      <w:b w:val="0"/>
                      <w:bCs/>
                    </w:rPr>
                  </w:pPr>
                </w:p>
              </w:tc>
              <w:tc>
                <w:tcPr>
                  <w:tcW w:w="783"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五、禁止擅自征收、占用国家湿地公园的土地。除国家另有规定外，禁止在国家湿地公园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滥采滥捕野生动植物，引入外来物种；擅自放牧、捕捞、取土、取水、排污、放生等破坏湿地及其生态功能的活动。国家湿地公园保育区除开展保护、监测、科学研究等必需的保护管理活动外，不得进行任何与湿地生态系统保护和管理无关的其他活动。</w:t>
                  </w:r>
                </w:p>
              </w:tc>
              <w:tc>
                <w:tcPr>
                  <w:tcW w:w="225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本项目位于</w:t>
                  </w:r>
                  <w:r>
                    <w:rPr>
                      <w:rFonts w:hint="default" w:ascii="Times New Roman" w:hAnsi="Times New Roman" w:cs="Times New Roman"/>
                      <w:b w:val="0"/>
                      <w:bCs/>
                      <w:lang w:eastAsia="zh-CN"/>
                    </w:rPr>
                    <w:t>云南澄江产业园区提古片区</w:t>
                  </w:r>
                  <w:r>
                    <w:rPr>
                      <w:rFonts w:hint="default" w:ascii="Times New Roman" w:hAnsi="Times New Roman" w:cs="Times New Roman"/>
                      <w:b w:val="0"/>
                      <w:bCs/>
                    </w:rPr>
                    <w:t>，</w:t>
                  </w:r>
                  <w:r>
                    <w:rPr>
                      <w:rFonts w:hint="default" w:ascii="Times New Roman" w:hAnsi="Times New Roman" w:cs="Times New Roman"/>
                      <w:b w:val="0"/>
                      <w:bCs/>
                    </w:rPr>
                    <w:br w:type="textWrapping"/>
                  </w:r>
                  <w:r>
                    <w:rPr>
                      <w:rFonts w:hint="default" w:ascii="Times New Roman" w:hAnsi="Times New Roman" w:cs="Times New Roman"/>
                      <w:b w:val="0"/>
                      <w:bCs/>
                    </w:rPr>
                    <w:t>项目用地为工业用</w:t>
                  </w:r>
                  <w:r>
                    <w:rPr>
                      <w:rFonts w:hint="default" w:ascii="Times New Roman" w:hAnsi="Times New Roman" w:cs="Times New Roman"/>
                      <w:b w:val="0"/>
                      <w:bCs/>
                    </w:rPr>
                    <w:br w:type="textWrapping"/>
                  </w:r>
                  <w:r>
                    <w:rPr>
                      <w:rFonts w:hint="default" w:ascii="Times New Roman" w:hAnsi="Times New Roman" w:cs="Times New Roman"/>
                      <w:b w:val="0"/>
                      <w:bCs/>
                    </w:rPr>
                    <w:t>地。不涉及征收、占</w:t>
                  </w:r>
                  <w:r>
                    <w:rPr>
                      <w:rFonts w:hint="default" w:ascii="Times New Roman" w:hAnsi="Times New Roman" w:cs="Times New Roman"/>
                      <w:b w:val="0"/>
                      <w:bCs/>
                    </w:rPr>
                    <w:br w:type="textWrapping"/>
                  </w:r>
                  <w:r>
                    <w:rPr>
                      <w:rFonts w:hint="default" w:ascii="Times New Roman" w:hAnsi="Times New Roman" w:cs="Times New Roman"/>
                      <w:b w:val="0"/>
                      <w:bCs/>
                    </w:rPr>
                    <w:t>用国家湿地公园的</w:t>
                  </w:r>
                  <w:r>
                    <w:rPr>
                      <w:rFonts w:hint="default" w:ascii="Times New Roman" w:hAnsi="Times New Roman" w:cs="Times New Roman"/>
                      <w:b w:val="0"/>
                      <w:bCs/>
                    </w:rPr>
                    <w:br w:type="textWrapping"/>
                  </w:r>
                  <w:r>
                    <w:rPr>
                      <w:rFonts w:hint="default" w:ascii="Times New Roman" w:hAnsi="Times New Roman" w:cs="Times New Roman"/>
                      <w:b w:val="0"/>
                      <w:bCs/>
                    </w:rPr>
                    <w:t>土地。</w:t>
                  </w:r>
                </w:p>
              </w:tc>
              <w:tc>
                <w:tcPr>
                  <w:tcW w:w="783"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六、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在饮用水水源二级保护区</w:t>
                  </w:r>
                  <w:r>
                    <w:rPr>
                      <w:rFonts w:hint="default" w:ascii="Times New Roman" w:hAnsi="Times New Roman" w:cs="Times New Roman"/>
                      <w:b w:val="0"/>
                      <w:bCs/>
                    </w:rPr>
                    <w:br w:type="textWrapping"/>
                  </w:r>
                  <w:r>
                    <w:rPr>
                      <w:rFonts w:hint="default" w:ascii="Times New Roman" w:hAnsi="Times New Roman" w:cs="Times New Roman"/>
                      <w:b w:val="0"/>
                      <w:bCs/>
                    </w:rPr>
                    <w:t>内从事网箱养殖、旅游等活动的，应当按照规定采取措施，防止污染饮用水水体。</w:t>
                  </w:r>
                </w:p>
              </w:tc>
              <w:tc>
                <w:tcPr>
                  <w:tcW w:w="225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本项目位于</w:t>
                  </w:r>
                  <w:r>
                    <w:rPr>
                      <w:rFonts w:hint="default" w:ascii="Times New Roman" w:hAnsi="Times New Roman" w:cs="Times New Roman"/>
                      <w:b w:val="0"/>
                      <w:bCs/>
                      <w:lang w:eastAsia="zh-CN"/>
                    </w:rPr>
                    <w:t>云南澄江产业园区提古片区</w:t>
                  </w:r>
                  <w:r>
                    <w:rPr>
                      <w:rFonts w:hint="default" w:ascii="Times New Roman" w:hAnsi="Times New Roman" w:cs="Times New Roman"/>
                      <w:b w:val="0"/>
                      <w:bCs/>
                    </w:rPr>
                    <w:t>内，</w:t>
                  </w:r>
                  <w:r>
                    <w:rPr>
                      <w:rFonts w:hint="default" w:ascii="Times New Roman" w:hAnsi="Times New Roman" w:cs="Times New Roman"/>
                      <w:b w:val="0"/>
                      <w:bCs/>
                    </w:rPr>
                    <w:br w:type="textWrapping"/>
                  </w:r>
                  <w:r>
                    <w:rPr>
                      <w:rFonts w:hint="default" w:ascii="Times New Roman" w:hAnsi="Times New Roman" w:cs="Times New Roman"/>
                      <w:b w:val="0"/>
                      <w:bCs/>
                    </w:rPr>
                    <w:t>不涉及饮用水水源</w:t>
                  </w:r>
                  <w:r>
                    <w:rPr>
                      <w:rFonts w:hint="default" w:ascii="Times New Roman" w:hAnsi="Times New Roman" w:cs="Times New Roman"/>
                      <w:b w:val="0"/>
                      <w:bCs/>
                    </w:rPr>
                    <w:br w:type="textWrapping"/>
                  </w:r>
                  <w:r>
                    <w:rPr>
                      <w:rFonts w:hint="default" w:ascii="Times New Roman" w:hAnsi="Times New Roman" w:cs="Times New Roman"/>
                      <w:b w:val="0"/>
                      <w:bCs/>
                    </w:rPr>
                    <w:t>一级保护区。</w:t>
                  </w:r>
                </w:p>
              </w:tc>
              <w:tc>
                <w:tcPr>
                  <w:tcW w:w="783"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七、禁止违法利用、占用长江流域河湖岸线。</w:t>
                  </w:r>
                </w:p>
              </w:tc>
              <w:tc>
                <w:tcPr>
                  <w:tcW w:w="2250" w:type="dxa"/>
                  <w:vMerge w:val="restar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本项目位于</w:t>
                  </w:r>
                  <w:r>
                    <w:rPr>
                      <w:rFonts w:hint="default" w:ascii="Times New Roman" w:hAnsi="Times New Roman" w:cs="Times New Roman"/>
                      <w:b w:val="0"/>
                      <w:bCs/>
                      <w:lang w:eastAsia="zh-CN"/>
                    </w:rPr>
                    <w:t>云南澄江产业园区提古片区</w:t>
                  </w:r>
                  <w:r>
                    <w:rPr>
                      <w:rFonts w:hint="default" w:ascii="Times New Roman" w:hAnsi="Times New Roman" w:cs="Times New Roman"/>
                      <w:b w:val="0"/>
                      <w:bCs/>
                    </w:rPr>
                    <w:t>内，</w:t>
                  </w:r>
                  <w:r>
                    <w:rPr>
                      <w:rFonts w:hint="default" w:ascii="Times New Roman" w:hAnsi="Times New Roman" w:cs="Times New Roman"/>
                      <w:b w:val="0"/>
                      <w:bCs/>
                    </w:rPr>
                    <w:br w:type="textWrapping"/>
                  </w:r>
                  <w:r>
                    <w:rPr>
                      <w:rFonts w:hint="default" w:ascii="Times New Roman" w:hAnsi="Times New Roman" w:cs="Times New Roman"/>
                      <w:b w:val="0"/>
                      <w:bCs/>
                    </w:rPr>
                    <w:t>不涉及《长江岸线保</w:t>
                  </w:r>
                  <w:r>
                    <w:rPr>
                      <w:rFonts w:hint="default" w:ascii="Times New Roman" w:hAnsi="Times New Roman" w:cs="Times New Roman"/>
                      <w:b w:val="0"/>
                      <w:bCs/>
                    </w:rPr>
                    <w:br w:type="textWrapping"/>
                  </w:r>
                  <w:r>
                    <w:rPr>
                      <w:rFonts w:hint="default" w:ascii="Times New Roman" w:hAnsi="Times New Roman" w:cs="Times New Roman"/>
                      <w:b w:val="0"/>
                      <w:bCs/>
                    </w:rPr>
                    <w:t>护和开发利用总体</w:t>
                  </w:r>
                  <w:r>
                    <w:rPr>
                      <w:rFonts w:hint="default" w:ascii="Times New Roman" w:hAnsi="Times New Roman" w:cs="Times New Roman"/>
                      <w:b w:val="0"/>
                      <w:bCs/>
                    </w:rPr>
                    <w:br w:type="textWrapping"/>
                  </w:r>
                  <w:r>
                    <w:rPr>
                      <w:rFonts w:hint="default" w:ascii="Times New Roman" w:hAnsi="Times New Roman" w:cs="Times New Roman"/>
                      <w:b w:val="0"/>
                      <w:bCs/>
                    </w:rPr>
                    <w:t>规划》划定的岸线保</w:t>
                  </w:r>
                  <w:r>
                    <w:rPr>
                      <w:rFonts w:hint="default" w:ascii="Times New Roman" w:hAnsi="Times New Roman" w:cs="Times New Roman"/>
                      <w:b w:val="0"/>
                      <w:bCs/>
                    </w:rPr>
                    <w:br w:type="textWrapping"/>
                  </w:r>
                  <w:r>
                    <w:rPr>
                      <w:rFonts w:hint="default" w:ascii="Times New Roman" w:hAnsi="Times New Roman" w:cs="Times New Roman"/>
                      <w:b w:val="0"/>
                      <w:bCs/>
                    </w:rPr>
                    <w:t>护区和保留区；不涉</w:t>
                  </w:r>
                  <w:r>
                    <w:rPr>
                      <w:rFonts w:hint="default" w:ascii="Times New Roman" w:hAnsi="Times New Roman" w:cs="Times New Roman"/>
                      <w:b w:val="0"/>
                      <w:bCs/>
                    </w:rPr>
                    <w:br w:type="textWrapping"/>
                  </w:r>
                  <w:r>
                    <w:rPr>
                      <w:rFonts w:hint="default" w:ascii="Times New Roman" w:hAnsi="Times New Roman" w:cs="Times New Roman"/>
                      <w:b w:val="0"/>
                      <w:bCs/>
                    </w:rPr>
                    <w:t>及划定的河段及湖</w:t>
                  </w:r>
                  <w:r>
                    <w:rPr>
                      <w:rFonts w:hint="default" w:ascii="Times New Roman" w:hAnsi="Times New Roman" w:cs="Times New Roman"/>
                      <w:b w:val="0"/>
                      <w:bCs/>
                    </w:rPr>
                    <w:br w:type="textWrapping"/>
                  </w:r>
                  <w:r>
                    <w:rPr>
                      <w:rFonts w:hint="default" w:ascii="Times New Roman" w:hAnsi="Times New Roman" w:cs="Times New Roman"/>
                      <w:b w:val="0"/>
                      <w:bCs/>
                    </w:rPr>
                    <w:t>泊保护区、水产种质</w:t>
                  </w:r>
                  <w:r>
                    <w:rPr>
                      <w:rFonts w:hint="default" w:ascii="Times New Roman" w:hAnsi="Times New Roman" w:cs="Times New Roman"/>
                      <w:b w:val="0"/>
                      <w:bCs/>
                    </w:rPr>
                    <w:br w:type="textWrapping"/>
                  </w:r>
                  <w:r>
                    <w:rPr>
                      <w:rFonts w:hint="default" w:ascii="Times New Roman" w:hAnsi="Times New Roman" w:cs="Times New Roman"/>
                      <w:b w:val="0"/>
                      <w:bCs/>
                    </w:rPr>
                    <w:t>资源保护区</w:t>
                  </w:r>
                </w:p>
              </w:tc>
              <w:tc>
                <w:tcPr>
                  <w:tcW w:w="783" w:type="dxa"/>
                  <w:vMerge w:val="restar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八、禁止在《全国重要江河湖泊水功能区划》划定的河段及湖泊保护区、保留区内投资建设不利于水资源及自然生态保护的项目。禁止在金沙江、长江一级支流建设除党中央、国务院、国家投资主管部门、省级有关部门批复同意以外的过江基础设施项目；禁止未经许可在长江流域、九大高原湖泊流域新设、改设或扩大排污口，除入河（海）排污口命名与编码规则（HJ1235-2021）规定的第四类“其他排口”外。禁止在水产种质资源保护区内新建排污口，以及从事围湖造田、围湖造地或围填海工程。</w:t>
                  </w:r>
                </w:p>
              </w:tc>
              <w:tc>
                <w:tcPr>
                  <w:tcW w:w="2250" w:type="dxa"/>
                  <w:vMerge w:val="continue"/>
                  <w:noWrap w:val="0"/>
                  <w:vAlign w:val="center"/>
                </w:tcPr>
                <w:p>
                  <w:pPr>
                    <w:pStyle w:val="45"/>
                    <w:bidi w:val="0"/>
                    <w:rPr>
                      <w:rFonts w:hint="default" w:ascii="Times New Roman" w:hAnsi="Times New Roman" w:cs="Times New Roman"/>
                      <w:b w:val="0"/>
                      <w:bCs/>
                    </w:rPr>
                  </w:pPr>
                </w:p>
              </w:tc>
              <w:tc>
                <w:tcPr>
                  <w:tcW w:w="783" w:type="dxa"/>
                  <w:vMerge w:val="continue"/>
                  <w:noWrap w:val="0"/>
                  <w:vAlign w:val="center"/>
                </w:tcPr>
                <w:p>
                  <w:pPr>
                    <w:pStyle w:val="45"/>
                    <w:bidi w:val="0"/>
                    <w:rPr>
                      <w:rFonts w:hint="default" w:ascii="Times New Roman" w:hAnsi="Times New Roman"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九、禁止在金沙江、赤水河、乌江和等水生动植物自然保护区、水产种质资源保护区长江流域禁捕水域开展天然渔业资源生产性捕捞。</w:t>
                  </w:r>
                </w:p>
              </w:tc>
              <w:tc>
                <w:tcPr>
                  <w:tcW w:w="225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本项目位于合规工</w:t>
                  </w:r>
                  <w:r>
                    <w:rPr>
                      <w:rFonts w:hint="default" w:ascii="Times New Roman" w:hAnsi="Times New Roman" w:cs="Times New Roman"/>
                      <w:b w:val="0"/>
                      <w:bCs/>
                    </w:rPr>
                    <w:br w:type="textWrapping"/>
                  </w:r>
                  <w:r>
                    <w:rPr>
                      <w:rFonts w:hint="default" w:ascii="Times New Roman" w:hAnsi="Times New Roman" w:cs="Times New Roman"/>
                      <w:b w:val="0"/>
                      <w:bCs/>
                    </w:rPr>
                    <w:t>业园区范围内，不涉</w:t>
                  </w:r>
                  <w:r>
                    <w:rPr>
                      <w:rFonts w:hint="default" w:ascii="Times New Roman" w:hAnsi="Times New Roman" w:cs="Times New Roman"/>
                      <w:b w:val="0"/>
                      <w:bCs/>
                    </w:rPr>
                    <w:br w:type="textWrapping"/>
                  </w:r>
                  <w:r>
                    <w:rPr>
                      <w:rFonts w:hint="default" w:ascii="Times New Roman" w:hAnsi="Times New Roman" w:cs="Times New Roman"/>
                      <w:b w:val="0"/>
                      <w:bCs/>
                    </w:rPr>
                    <w:t>及保护区，不涉及捕</w:t>
                  </w:r>
                  <w:r>
                    <w:rPr>
                      <w:rFonts w:hint="default" w:ascii="Times New Roman" w:hAnsi="Times New Roman" w:cs="Times New Roman"/>
                      <w:b w:val="0"/>
                      <w:bCs/>
                    </w:rPr>
                    <w:br w:type="textWrapping"/>
                  </w:r>
                  <w:r>
                    <w:rPr>
                      <w:rFonts w:hint="default" w:ascii="Times New Roman" w:hAnsi="Times New Roman" w:cs="Times New Roman"/>
                      <w:b w:val="0"/>
                      <w:bCs/>
                    </w:rPr>
                    <w:t>捞。</w:t>
                  </w:r>
                </w:p>
              </w:tc>
              <w:tc>
                <w:tcPr>
                  <w:tcW w:w="783"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十、禁止在金沙江、长江一级支流岸线边界一公里范围内新建、扩建化工园区和化工项目。</w:t>
                  </w:r>
                </w:p>
              </w:tc>
              <w:tc>
                <w:tcPr>
                  <w:tcW w:w="225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本项目不在金沙江、</w:t>
                  </w:r>
                  <w:r>
                    <w:rPr>
                      <w:rFonts w:hint="default" w:ascii="Times New Roman" w:hAnsi="Times New Roman" w:cs="Times New Roman"/>
                      <w:b w:val="0"/>
                      <w:bCs/>
                    </w:rPr>
                    <w:br w:type="textWrapping"/>
                  </w:r>
                  <w:r>
                    <w:rPr>
                      <w:rFonts w:hint="default" w:ascii="Times New Roman" w:hAnsi="Times New Roman" w:cs="Times New Roman"/>
                      <w:b w:val="0"/>
                      <w:bCs/>
                    </w:rPr>
                    <w:t>长江一级支流一公</w:t>
                  </w:r>
                  <w:r>
                    <w:rPr>
                      <w:rFonts w:hint="default" w:ascii="Times New Roman" w:hAnsi="Times New Roman" w:cs="Times New Roman"/>
                      <w:b w:val="0"/>
                      <w:bCs/>
                    </w:rPr>
                    <w:br w:type="textWrapping"/>
                  </w:r>
                  <w:r>
                    <w:rPr>
                      <w:rFonts w:hint="default" w:ascii="Times New Roman" w:hAnsi="Times New Roman" w:cs="Times New Roman"/>
                      <w:b w:val="0"/>
                      <w:bCs/>
                    </w:rPr>
                    <w:t>里范围内。</w:t>
                  </w:r>
                </w:p>
              </w:tc>
              <w:tc>
                <w:tcPr>
                  <w:tcW w:w="783"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十一、禁止在金沙江干流岸线3公里、长江（金沙江）一级支流岸线1公里范围内新建、改建、扩建尾矿库、冶炼渣库和磷石膏库，以提升安全、生态环境保护水平为目的的改建除外。</w:t>
                  </w:r>
                </w:p>
              </w:tc>
              <w:tc>
                <w:tcPr>
                  <w:tcW w:w="225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本项目不涉及尾矿</w:t>
                  </w:r>
                  <w:r>
                    <w:rPr>
                      <w:rFonts w:hint="default" w:ascii="Times New Roman" w:hAnsi="Times New Roman" w:cs="Times New Roman"/>
                      <w:b w:val="0"/>
                      <w:bCs/>
                    </w:rPr>
                    <w:br w:type="textWrapping"/>
                  </w:r>
                  <w:r>
                    <w:rPr>
                      <w:rFonts w:hint="default" w:ascii="Times New Roman" w:hAnsi="Times New Roman" w:cs="Times New Roman"/>
                      <w:b w:val="0"/>
                      <w:bCs/>
                    </w:rPr>
                    <w:t>库、冶炼渣库和磷石膏库的建设</w:t>
                  </w:r>
                </w:p>
              </w:tc>
              <w:tc>
                <w:tcPr>
                  <w:tcW w:w="783"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十二、禁止在合规园区外新建、扩建钢铁、石化、化工、焦化、建材、有色、制浆造纸等高污染项目。禁止新增钢铁、水泥、平板玻璃等行业建设产能，确有必要建设的，应按规定实施产能等量或减量置换。</w:t>
                  </w:r>
                </w:p>
              </w:tc>
              <w:tc>
                <w:tcPr>
                  <w:tcW w:w="225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本项目属于</w:t>
                  </w:r>
                  <w:r>
                    <w:rPr>
                      <w:rFonts w:hint="default" w:ascii="Times New Roman" w:hAnsi="Times New Roman" w:cs="Times New Roman"/>
                      <w:b w:val="0"/>
                      <w:bCs/>
                      <w:lang w:eastAsia="zh-CN"/>
                    </w:rPr>
                    <w:t>灭火器</w:t>
                  </w:r>
                  <w:r>
                    <w:rPr>
                      <w:rFonts w:hint="default" w:ascii="Times New Roman" w:hAnsi="Times New Roman" w:cs="Times New Roman"/>
                      <w:b w:val="0"/>
                      <w:bCs/>
                    </w:rPr>
                    <w:t>制造行业，不属于高污染项目；不涉及新增钢铁、水泥、平板玻璃等行业建设产能。</w:t>
                  </w:r>
                </w:p>
              </w:tc>
              <w:tc>
                <w:tcPr>
                  <w:tcW w:w="783"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十三、禁止新建、扩建不符合国家石化、现代煤化工等产业布局规划的项目。禁止列入《云南省城镇人口密集区危险化学品生产企业搬迁改造名单》的搬迁改造企业在原址新建、扩建危险化学品生产项目，加强搬迁入园、关闭退出企业腾退土地污染风险管控和治理修复，确保腾退土地符合规划用地土</w:t>
                  </w:r>
                  <w:r>
                    <w:rPr>
                      <w:rFonts w:hint="default" w:ascii="Times New Roman" w:hAnsi="Times New Roman" w:cs="Times New Roman"/>
                      <w:b w:val="0"/>
                      <w:bCs/>
                    </w:rPr>
                    <w:br w:type="textWrapping"/>
                  </w:r>
                  <w:r>
                    <w:rPr>
                      <w:rFonts w:hint="default" w:ascii="Times New Roman" w:hAnsi="Times New Roman" w:cs="Times New Roman"/>
                      <w:b w:val="0"/>
                      <w:bCs/>
                    </w:rPr>
                    <w:t>壤环境质量标准。</w:t>
                  </w:r>
                </w:p>
              </w:tc>
              <w:tc>
                <w:tcPr>
                  <w:tcW w:w="225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项目已取得项目投</w:t>
                  </w:r>
                  <w:r>
                    <w:rPr>
                      <w:rFonts w:hint="default" w:ascii="Times New Roman" w:hAnsi="Times New Roman" w:cs="Times New Roman"/>
                      <w:b w:val="0"/>
                      <w:bCs/>
                    </w:rPr>
                    <w:br w:type="textWrapping"/>
                  </w:r>
                  <w:r>
                    <w:rPr>
                      <w:rFonts w:hint="default" w:ascii="Times New Roman" w:hAnsi="Times New Roman" w:cs="Times New Roman"/>
                      <w:b w:val="0"/>
                      <w:bCs/>
                    </w:rPr>
                    <w:t>资备案证，符合产业</w:t>
                  </w:r>
                  <w:r>
                    <w:rPr>
                      <w:rFonts w:hint="default" w:ascii="Times New Roman" w:hAnsi="Times New Roman" w:cs="Times New Roman"/>
                      <w:b w:val="0"/>
                      <w:bCs/>
                    </w:rPr>
                    <w:br w:type="textWrapping"/>
                  </w:r>
                  <w:r>
                    <w:rPr>
                      <w:rFonts w:hint="default" w:ascii="Times New Roman" w:hAnsi="Times New Roman" w:cs="Times New Roman"/>
                      <w:b w:val="0"/>
                      <w:bCs/>
                    </w:rPr>
                    <w:t>政策要求，为准入允</w:t>
                  </w:r>
                  <w:r>
                    <w:rPr>
                      <w:rFonts w:hint="default" w:ascii="Times New Roman" w:hAnsi="Times New Roman" w:cs="Times New Roman"/>
                      <w:b w:val="0"/>
                      <w:bCs/>
                    </w:rPr>
                    <w:br w:type="textWrapping"/>
                  </w:r>
                  <w:r>
                    <w:rPr>
                      <w:rFonts w:hint="default" w:ascii="Times New Roman" w:hAnsi="Times New Roman" w:cs="Times New Roman"/>
                      <w:b w:val="0"/>
                      <w:bCs/>
                    </w:rPr>
                    <w:t>许类别；不在《云南</w:t>
                  </w:r>
                  <w:r>
                    <w:rPr>
                      <w:rFonts w:hint="default" w:ascii="Times New Roman" w:hAnsi="Times New Roman" w:cs="Times New Roman"/>
                      <w:b w:val="0"/>
                      <w:bCs/>
                    </w:rPr>
                    <w:br w:type="textWrapping"/>
                  </w:r>
                  <w:r>
                    <w:rPr>
                      <w:rFonts w:hint="default" w:ascii="Times New Roman" w:hAnsi="Times New Roman" w:cs="Times New Roman"/>
                      <w:b w:val="0"/>
                      <w:bCs/>
                    </w:rPr>
                    <w:t>省城镇人口密集区</w:t>
                  </w:r>
                  <w:r>
                    <w:rPr>
                      <w:rFonts w:hint="default" w:ascii="Times New Roman" w:hAnsi="Times New Roman" w:cs="Times New Roman"/>
                      <w:b w:val="0"/>
                      <w:bCs/>
                    </w:rPr>
                    <w:br w:type="textWrapping"/>
                  </w:r>
                  <w:r>
                    <w:rPr>
                      <w:rFonts w:hint="default" w:ascii="Times New Roman" w:hAnsi="Times New Roman" w:cs="Times New Roman"/>
                      <w:b w:val="0"/>
                      <w:bCs/>
                    </w:rPr>
                    <w:t>危险化学品生产企</w:t>
                  </w:r>
                  <w:r>
                    <w:rPr>
                      <w:rFonts w:hint="default" w:ascii="Times New Roman" w:hAnsi="Times New Roman" w:cs="Times New Roman"/>
                      <w:b w:val="0"/>
                      <w:bCs/>
                    </w:rPr>
                    <w:br w:type="textWrapping"/>
                  </w:r>
                  <w:r>
                    <w:rPr>
                      <w:rFonts w:hint="default" w:ascii="Times New Roman" w:hAnsi="Times New Roman" w:cs="Times New Roman"/>
                      <w:b w:val="0"/>
                      <w:bCs/>
                    </w:rPr>
                    <w:t>业搬迁改造名单》</w:t>
                  </w:r>
                  <w:r>
                    <w:rPr>
                      <w:rFonts w:hint="default" w:ascii="Times New Roman" w:hAnsi="Times New Roman" w:cs="Times New Roman"/>
                      <w:b w:val="0"/>
                      <w:bCs/>
                    </w:rPr>
                    <w:br w:type="textWrapping"/>
                  </w:r>
                  <w:r>
                    <w:rPr>
                      <w:rFonts w:hint="default" w:ascii="Times New Roman" w:hAnsi="Times New Roman" w:cs="Times New Roman"/>
                      <w:b w:val="0"/>
                      <w:bCs/>
                    </w:rPr>
                    <w:t>内。</w:t>
                  </w:r>
                </w:p>
              </w:tc>
              <w:tc>
                <w:tcPr>
                  <w:tcW w:w="783"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十四、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禁止新建、扩建不符合国家产能置换要求的严重过剩产能行业的项目。禁止新建、扩建不符合要求的高耗能高排放项目。禁止建设高毒高残留以及对环境影响大的农药原药生产装置，严格控制尿素、磷铵、电石、焦炭、黄磷、烧碱、纯碱、聚氯乙烯等行业新增产能。</w:t>
                  </w:r>
                </w:p>
              </w:tc>
              <w:tc>
                <w:tcPr>
                  <w:tcW w:w="2250"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项目已取得项目投</w:t>
                  </w:r>
                  <w:r>
                    <w:rPr>
                      <w:rFonts w:hint="default" w:ascii="Times New Roman" w:hAnsi="Times New Roman" w:cs="Times New Roman"/>
                      <w:b w:val="0"/>
                      <w:bCs/>
                    </w:rPr>
                    <w:br w:type="textWrapping"/>
                  </w:r>
                  <w:r>
                    <w:rPr>
                      <w:rFonts w:hint="default" w:ascii="Times New Roman" w:hAnsi="Times New Roman" w:cs="Times New Roman"/>
                      <w:b w:val="0"/>
                      <w:bCs/>
                    </w:rPr>
                    <w:t>资备案证，符合产业</w:t>
                  </w:r>
                  <w:r>
                    <w:rPr>
                      <w:rFonts w:hint="default" w:ascii="Times New Roman" w:hAnsi="Times New Roman" w:cs="Times New Roman"/>
                      <w:b w:val="0"/>
                      <w:bCs/>
                    </w:rPr>
                    <w:br w:type="textWrapping"/>
                  </w:r>
                  <w:r>
                    <w:rPr>
                      <w:rFonts w:hint="default" w:ascii="Times New Roman" w:hAnsi="Times New Roman" w:cs="Times New Roman"/>
                      <w:b w:val="0"/>
                      <w:bCs/>
                    </w:rPr>
                    <w:t>政策要求。项目不属</w:t>
                  </w:r>
                  <w:r>
                    <w:rPr>
                      <w:rFonts w:hint="default" w:ascii="Times New Roman" w:hAnsi="Times New Roman" w:cs="Times New Roman"/>
                      <w:b w:val="0"/>
                      <w:bCs/>
                    </w:rPr>
                    <w:br w:type="textWrapping"/>
                  </w:r>
                  <w:r>
                    <w:rPr>
                      <w:rFonts w:hint="default" w:ascii="Times New Roman" w:hAnsi="Times New Roman" w:cs="Times New Roman"/>
                      <w:b w:val="0"/>
                      <w:bCs/>
                    </w:rPr>
                    <w:t>于高耗能、高排放的</w:t>
                  </w:r>
                  <w:r>
                    <w:rPr>
                      <w:rFonts w:hint="default" w:ascii="Times New Roman" w:hAnsi="Times New Roman" w:cs="Times New Roman"/>
                      <w:b w:val="0"/>
                      <w:bCs/>
                    </w:rPr>
                    <w:br w:type="textWrapping"/>
                  </w:r>
                  <w:r>
                    <w:rPr>
                      <w:rFonts w:hint="default" w:ascii="Times New Roman" w:hAnsi="Times New Roman" w:cs="Times New Roman"/>
                      <w:b w:val="0"/>
                      <w:bCs/>
                    </w:rPr>
                    <w:t>项目。</w:t>
                  </w:r>
                </w:p>
              </w:tc>
              <w:tc>
                <w:tcPr>
                  <w:tcW w:w="783" w:type="dxa"/>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符合</w:t>
                  </w:r>
                </w:p>
              </w:tc>
            </w:tr>
          </w:tbl>
          <w:p>
            <w:pPr>
              <w:ind w:firstLine="480"/>
              <w:rPr>
                <w:rFonts w:hint="default" w:ascii="Times New Roman" w:hAnsi="Times New Roman" w:eastAsia="宋体" w:cs="Times New Roman"/>
              </w:rPr>
            </w:pPr>
            <w:r>
              <w:rPr>
                <w:rFonts w:hint="default" w:ascii="Times New Roman" w:hAnsi="Times New Roman" w:eastAsia="宋体" w:cs="Times New Roman"/>
              </w:rPr>
              <w:t>根据上表分析，本项目和《云南省长江经济带发展负面清单指南实施细则（试行，2022年版）》中要求相符。</w:t>
            </w:r>
          </w:p>
          <w:p>
            <w:pPr>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11.环境相容性分析</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（1）项目对周边环境及企业的影响分析</w:t>
            </w:r>
          </w:p>
          <w:p>
            <w:pPr>
              <w:bidi w:val="0"/>
              <w:rPr>
                <w:rFonts w:hint="default" w:ascii="Times New Roman" w:hAnsi="Times New Roman" w:cs="Times New Roman"/>
              </w:rPr>
            </w:pPr>
            <w:r>
              <w:rPr>
                <w:rFonts w:hint="default" w:ascii="Times New Roman" w:hAnsi="Times New Roman" w:cs="Times New Roman"/>
              </w:rPr>
              <w:t>本项目位于云南省玉溪市澄江市龙街街道办事处提古社区提古一组（云南鑫成鹏高分子科技有限公司3号厂房内），根据实地调查，本项目周边企业（企业分布情况见下表1-4，见附图4）主要产生废气（颗粒物、挥发性有机物）、噪声及固体废弃物等污染物。项目敏感目标主要有位于项目区西侧30米的提古村散户。本项目大气污染物主要为颗粒物、挥发性有机物（以非甲烷总烃计）、甲苯、二甲苯，经采取</w:t>
            </w:r>
            <w:r>
              <w:rPr>
                <w:rFonts w:hint="default" w:ascii="Times New Roman" w:hAnsi="Times New Roman" w:cs="Times New Roman"/>
                <w:lang w:val="en-US" w:eastAsia="zh-CN"/>
              </w:rPr>
              <w:t>二</w:t>
            </w:r>
            <w:r>
              <w:rPr>
                <w:rFonts w:hint="default" w:ascii="Times New Roman" w:hAnsi="Times New Roman" w:cs="Times New Roman"/>
              </w:rPr>
              <w:t>活性炭吸附设备+15m高排气筒能达标排放，主要设备也置于厂房内，对周边加工企业影响甚微，且周边加工企业主要生产均在厂房内，因此，总体分析后本项目对周边企业和环境影响有限，与其环境相容性不矛盾。项目评价范围内无国家、省、县划定的自然保护区、风景名胜区、饮用水源保护区以及区域生态保护红线，项目与周边环境相容。因此，可看出本项目所从事的生产活动能与周围环境功能相容，项目的建设不会改变当地环境功能。项目配套的水、电等市政设施已基本配置到位。本项目周边企业主要业务及污染详见表1-</w:t>
            </w:r>
            <w:r>
              <w:rPr>
                <w:rFonts w:hint="default" w:ascii="Times New Roman" w:hAnsi="Times New Roman" w:cs="Times New Roman"/>
                <w:lang w:val="en-US" w:eastAsia="zh-CN"/>
              </w:rPr>
              <w:t>11</w:t>
            </w:r>
            <w:r>
              <w:rPr>
                <w:rFonts w:hint="default" w:ascii="Times New Roman" w:hAnsi="Times New Roman" w:cs="Times New Roman"/>
              </w:rPr>
              <w:t>。</w:t>
            </w:r>
          </w:p>
          <w:p>
            <w:pPr>
              <w:pStyle w:val="36"/>
              <w:pageBreakBefore w:val="0"/>
              <w:kinsoku/>
              <w:wordWrap/>
              <w:overflowPunct/>
              <w:topLinePunct w:val="0"/>
              <w:bidi w:val="0"/>
              <w:ind w:firstLine="0" w:firstLineChars="0"/>
              <w:rPr>
                <w:rFonts w:hint="default" w:ascii="Times New Roman" w:hAnsi="Times New Roman" w:cs="Times New Roman"/>
              </w:rPr>
            </w:pPr>
            <w:r>
              <w:rPr>
                <w:rFonts w:hint="default" w:ascii="Times New Roman" w:hAnsi="Times New Roman" w:cs="Times New Roman"/>
              </w:rPr>
              <w:t>表1-</w:t>
            </w:r>
            <w:r>
              <w:rPr>
                <w:rFonts w:hint="default" w:ascii="Times New Roman" w:hAnsi="Times New Roman" w:cs="Times New Roman"/>
                <w:lang w:val="en-US" w:eastAsia="zh-CN"/>
              </w:rPr>
              <w:t>11</w:t>
            </w:r>
            <w:r>
              <w:rPr>
                <w:rFonts w:hint="default" w:ascii="Times New Roman" w:hAnsi="Times New Roman" w:cs="Times New Roman"/>
              </w:rPr>
              <w:t>本项目周边企业污染源调查一览表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1680"/>
              <w:gridCol w:w="742"/>
              <w:gridCol w:w="1335"/>
              <w:gridCol w:w="999"/>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41"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编号</w:t>
                  </w:r>
                </w:p>
              </w:tc>
              <w:tc>
                <w:tcPr>
                  <w:tcW w:w="1139"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企业名称</w:t>
                  </w:r>
                </w:p>
              </w:tc>
              <w:tc>
                <w:tcPr>
                  <w:tcW w:w="503"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方位</w:t>
                  </w:r>
                </w:p>
              </w:tc>
              <w:tc>
                <w:tcPr>
                  <w:tcW w:w="90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与项目的厂界距离（m）</w:t>
                  </w:r>
                </w:p>
              </w:tc>
              <w:tc>
                <w:tcPr>
                  <w:tcW w:w="677"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企业性质</w:t>
                  </w:r>
                </w:p>
              </w:tc>
              <w:tc>
                <w:tcPr>
                  <w:tcW w:w="1434"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1"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1</w:t>
                  </w:r>
                </w:p>
              </w:tc>
              <w:tc>
                <w:tcPr>
                  <w:tcW w:w="1139" w:type="pct"/>
                  <w:noWrap w:val="0"/>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lang w:eastAsia="zh-CN"/>
                    </w:rPr>
                    <w:t>新知集团中国国际团购物流中心</w:t>
                  </w:r>
                </w:p>
              </w:tc>
              <w:tc>
                <w:tcPr>
                  <w:tcW w:w="503" w:type="pct"/>
                  <w:noWrap w:val="0"/>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lang w:val="en-US" w:eastAsia="zh-CN"/>
                    </w:rPr>
                    <w:t>东</w:t>
                  </w:r>
                  <w:r>
                    <w:rPr>
                      <w:rFonts w:hint="default" w:ascii="Times New Roman" w:hAnsi="Times New Roman" w:cs="Times New Roman"/>
                      <w:b w:val="0"/>
                      <w:bCs/>
                      <w:lang w:eastAsia="zh-CN"/>
                    </w:rPr>
                    <w:t>南</w:t>
                  </w:r>
                </w:p>
              </w:tc>
              <w:tc>
                <w:tcPr>
                  <w:tcW w:w="905"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650</w:t>
                  </w:r>
                </w:p>
              </w:tc>
              <w:tc>
                <w:tcPr>
                  <w:tcW w:w="677" w:type="pct"/>
                  <w:noWrap w:val="0"/>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lang w:eastAsia="zh-CN"/>
                    </w:rPr>
                    <w:t>物流仓储</w:t>
                  </w:r>
                </w:p>
              </w:tc>
              <w:tc>
                <w:tcPr>
                  <w:tcW w:w="1434" w:type="pct"/>
                  <w:noWrap w:val="0"/>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lang w:eastAsia="zh-CN"/>
                    </w:rPr>
                    <w:t>噪声、废水（已搬离）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1"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2</w:t>
                  </w:r>
                </w:p>
              </w:tc>
              <w:tc>
                <w:tcPr>
                  <w:tcW w:w="1139" w:type="pct"/>
                  <w:noWrap w:val="0"/>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lang w:eastAsia="zh-CN"/>
                    </w:rPr>
                    <w:t>云南宝泰轻化机械有限公司</w:t>
                  </w:r>
                </w:p>
              </w:tc>
              <w:tc>
                <w:tcPr>
                  <w:tcW w:w="503" w:type="pct"/>
                  <w:noWrap w:val="0"/>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lang w:val="en-US" w:eastAsia="zh-CN"/>
                    </w:rPr>
                    <w:t>南</w:t>
                  </w:r>
                </w:p>
              </w:tc>
              <w:tc>
                <w:tcPr>
                  <w:tcW w:w="905"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400</w:t>
                  </w:r>
                </w:p>
              </w:tc>
              <w:tc>
                <w:tcPr>
                  <w:tcW w:w="677" w:type="pct"/>
                  <w:noWrap w:val="0"/>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lang w:eastAsia="zh-CN"/>
                    </w:rPr>
                    <w:t>压力容器</w:t>
                  </w:r>
                </w:p>
              </w:tc>
              <w:tc>
                <w:tcPr>
                  <w:tcW w:w="1434"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颗粒物、挥发性有机物、噪声、固体废弃物、废水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341"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3</w:t>
                  </w:r>
                </w:p>
              </w:tc>
              <w:tc>
                <w:tcPr>
                  <w:tcW w:w="1139"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eastAsia="zh-CN"/>
                    </w:rPr>
                    <w:t>云南神农澄江饲料有限公司</w:t>
                  </w:r>
                </w:p>
              </w:tc>
              <w:tc>
                <w:tcPr>
                  <w:tcW w:w="503" w:type="pct"/>
                  <w:noWrap w:val="0"/>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南</w:t>
                  </w:r>
                </w:p>
              </w:tc>
              <w:tc>
                <w:tcPr>
                  <w:tcW w:w="905"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259</w:t>
                  </w:r>
                </w:p>
              </w:tc>
              <w:tc>
                <w:tcPr>
                  <w:tcW w:w="677" w:type="pct"/>
                  <w:noWrap w:val="0"/>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lang w:eastAsia="zh-CN"/>
                    </w:rPr>
                    <w:t>饲料</w:t>
                  </w:r>
                </w:p>
              </w:tc>
              <w:tc>
                <w:tcPr>
                  <w:tcW w:w="1434"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颗粒物、</w:t>
                  </w:r>
                  <w:r>
                    <w:rPr>
                      <w:rFonts w:hint="default" w:ascii="Times New Roman" w:hAnsi="Times New Roman" w:cs="Times New Roman"/>
                      <w:b w:val="0"/>
                      <w:bCs/>
                      <w:lang w:eastAsia="zh-CN"/>
                    </w:rPr>
                    <w:t>二氧化硫、氮氧化物</w:t>
                  </w:r>
                  <w:r>
                    <w:rPr>
                      <w:rFonts w:hint="default" w:ascii="Times New Roman" w:hAnsi="Times New Roman" w:cs="Times New Roman"/>
                      <w:b w:val="0"/>
                      <w:bCs/>
                    </w:rPr>
                    <w:t>、噪声、固体废弃物、废水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341"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4</w:t>
                  </w:r>
                </w:p>
              </w:tc>
              <w:tc>
                <w:tcPr>
                  <w:tcW w:w="1139"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云南鑫成鹏高分子科技有限公司</w:t>
                  </w:r>
                </w:p>
              </w:tc>
              <w:tc>
                <w:tcPr>
                  <w:tcW w:w="503"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w:t>
                  </w:r>
                </w:p>
              </w:tc>
              <w:tc>
                <w:tcPr>
                  <w:tcW w:w="905"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0</w:t>
                  </w:r>
                </w:p>
              </w:tc>
              <w:tc>
                <w:tcPr>
                  <w:tcW w:w="677"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eastAsia="zh-CN"/>
                    </w:rPr>
                    <w:t>绝缘材料</w:t>
                  </w:r>
                </w:p>
              </w:tc>
              <w:tc>
                <w:tcPr>
                  <w:tcW w:w="1434"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颗粒物、挥发性有机物、噪声、固体废弃物、废水</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eastAsiaTheme="minorEastAsia"/>
                <w:color w:val="auto"/>
                <w:szCs w:val="21"/>
              </w:rPr>
            </w:pPr>
          </w:p>
        </w:tc>
      </w:tr>
    </w:tbl>
    <w:p>
      <w:pPr>
        <w:spacing w:line="360" w:lineRule="auto"/>
        <w:rPr>
          <w:rFonts w:hint="default" w:ascii="Times New Roman" w:hAnsi="Times New Roman" w:eastAsia="黑体" w:cs="Times New Roman"/>
          <w:color w:val="auto"/>
          <w:szCs w:val="21"/>
        </w:rPr>
        <w:sectPr>
          <w:footerReference r:id="rId9"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黑体" w:cs="Times New Roman"/>
          <w:snapToGrid w:val="0"/>
          <w:color w:val="auto"/>
          <w:sz w:val="30"/>
          <w:szCs w:val="30"/>
        </w:rPr>
      </w:pPr>
      <w:bookmarkStart w:id="9" w:name="_Toc5271"/>
      <w:bookmarkStart w:id="10" w:name="_Toc1758"/>
      <w:bookmarkStart w:id="11" w:name="_Toc10652"/>
      <w:r>
        <w:rPr>
          <w:rFonts w:hint="default" w:ascii="Times New Roman" w:hAnsi="Times New Roman" w:eastAsia="黑体" w:cs="Times New Roman"/>
          <w:snapToGrid w:val="0"/>
          <w:color w:val="auto"/>
          <w:sz w:val="30"/>
          <w:szCs w:val="30"/>
        </w:rPr>
        <w:t>二、建设项目工程分析</w:t>
      </w:r>
      <w:bookmarkEnd w:id="9"/>
      <w:bookmarkEnd w:id="10"/>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81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1038" w:type="dxa"/>
            <w:vAlign w:val="center"/>
          </w:tcPr>
          <w:p>
            <w:pPr>
              <w:pStyle w:val="24"/>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8022" w:type="dxa"/>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eastAsiaTheme="minorEastAsia"/>
                <w:b/>
                <w:bCs/>
                <w:color w:val="auto"/>
                <w:szCs w:val="21"/>
                <w:lang w:val="en-US" w:eastAsia="zh-CN"/>
              </w:rPr>
            </w:pPr>
            <w:r>
              <w:rPr>
                <w:rFonts w:hint="default" w:ascii="Times New Roman" w:hAnsi="Times New Roman" w:cs="Times New Roman" w:eastAsiaTheme="minorEastAsia"/>
                <w:b/>
                <w:bCs/>
                <w:color w:val="auto"/>
                <w:szCs w:val="21"/>
              </w:rPr>
              <w:t>1、</w:t>
            </w:r>
            <w:r>
              <w:rPr>
                <w:rFonts w:hint="default" w:ascii="Times New Roman" w:hAnsi="Times New Roman" w:cs="Times New Roman" w:eastAsiaTheme="minorEastAsia"/>
                <w:b/>
                <w:bCs/>
                <w:color w:val="auto"/>
                <w:szCs w:val="21"/>
                <w:lang w:val="en-US" w:eastAsia="zh-CN"/>
              </w:rPr>
              <w:t>项目概况</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（1）项目名称：</w:t>
            </w:r>
            <w:r>
              <w:rPr>
                <w:rFonts w:hint="default" w:ascii="Times New Roman" w:hAnsi="Times New Roman" w:cs="Times New Roman"/>
                <w:color w:val="auto"/>
                <w:highlight w:val="none"/>
                <w:lang w:eastAsia="zh-CN"/>
              </w:rPr>
              <w:t>云南鑫多新型材料有限公司</w:t>
            </w:r>
            <w:r>
              <w:rPr>
                <w:rFonts w:hint="default" w:ascii="Times New Roman" w:hAnsi="Times New Roman" w:cs="Times New Roman"/>
                <w:color w:val="auto"/>
                <w:highlight w:val="none"/>
                <w:lang w:val="en-US" w:eastAsia="zh-CN"/>
              </w:rPr>
              <w:t>年产55万㎡中空玻璃改扩建项目</w:t>
            </w:r>
            <w:r>
              <w:rPr>
                <w:rFonts w:hint="default" w:ascii="Times New Roman" w:hAnsi="Times New Roman" w:cs="Times New Roman"/>
                <w:color w:val="auto"/>
                <w:highlight w:val="none"/>
              </w:rPr>
              <w:t>（以下简称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pPr>
              <w:bidi w:val="0"/>
              <w:rPr>
                <w:rFonts w:hint="default" w:ascii="Times New Roman" w:hAnsi="Times New Roman" w:cs="Times New Roman"/>
              </w:rPr>
            </w:pPr>
            <w:r>
              <w:rPr>
                <w:rFonts w:hint="default" w:ascii="Times New Roman" w:hAnsi="Times New Roman" w:cs="Times New Roman"/>
              </w:rPr>
              <w:t>（2）建设单位：</w:t>
            </w:r>
            <w:r>
              <w:rPr>
                <w:rFonts w:hint="default" w:ascii="Times New Roman" w:hAnsi="Times New Roman" w:cs="Times New Roman"/>
                <w:lang w:eastAsia="zh-CN"/>
              </w:rPr>
              <w:t>云南鑫多新型材料有限公司</w:t>
            </w:r>
            <w:r>
              <w:rPr>
                <w:rFonts w:hint="default" w:ascii="Times New Roman" w:hAnsi="Times New Roman" w:cs="Times New Roman"/>
              </w:rPr>
              <w:t>；</w:t>
            </w:r>
          </w:p>
          <w:p>
            <w:pPr>
              <w:bidi w:val="0"/>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lang w:eastAsia="zh-CN"/>
              </w:rPr>
              <w:t>公司法人</w:t>
            </w:r>
            <w:r>
              <w:rPr>
                <w:rFonts w:hint="default" w:ascii="Times New Roman" w:hAnsi="Times New Roman" w:cs="Times New Roman"/>
              </w:rPr>
              <w:t>：</w:t>
            </w:r>
            <w:r>
              <w:rPr>
                <w:rFonts w:hint="default" w:ascii="Times New Roman" w:hAnsi="Times New Roman" w:cs="Times New Roman"/>
                <w:lang w:eastAsia="zh-CN"/>
              </w:rPr>
              <w:t>詹文华</w:t>
            </w:r>
            <w:r>
              <w:rPr>
                <w:rFonts w:hint="default" w:ascii="Times New Roman" w:hAnsi="Times New Roman" w:cs="Times New Roman"/>
              </w:rPr>
              <w:t>；</w:t>
            </w:r>
          </w:p>
          <w:p>
            <w:pPr>
              <w:bidi w:val="0"/>
              <w:rPr>
                <w:rFonts w:hint="default" w:ascii="Times New Roman" w:hAnsi="Times New Roman" w:cs="Times New Roman"/>
              </w:rPr>
            </w:pPr>
            <w:r>
              <w:rPr>
                <w:rFonts w:hint="default" w:ascii="Times New Roman" w:hAnsi="Times New Roman" w:cs="Times New Roman"/>
              </w:rPr>
              <w:t>（4）建设性质：</w:t>
            </w:r>
            <w:r>
              <w:rPr>
                <w:rFonts w:hint="default" w:ascii="Times New Roman" w:hAnsi="Times New Roman" w:cs="Times New Roman"/>
                <w:lang w:val="en-US" w:eastAsia="zh-CN"/>
              </w:rPr>
              <w:t>改扩建</w:t>
            </w:r>
            <w:r>
              <w:rPr>
                <w:rFonts w:hint="default" w:ascii="Times New Roman" w:hAnsi="Times New Roman" w:cs="Times New Roman"/>
              </w:rPr>
              <w:t>；</w:t>
            </w:r>
          </w:p>
          <w:p>
            <w:pPr>
              <w:bidi w:val="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5</w:t>
            </w:r>
            <w:r>
              <w:rPr>
                <w:rFonts w:hint="default" w:ascii="Times New Roman" w:hAnsi="Times New Roman" w:cs="Times New Roman"/>
              </w:rPr>
              <w:t>）建设地点：</w:t>
            </w:r>
            <w:r>
              <w:rPr>
                <w:rFonts w:hint="default" w:ascii="Times New Roman" w:hAnsi="Times New Roman" w:cs="Times New Roman"/>
                <w:lang w:val="en-US" w:eastAsia="zh-CN"/>
              </w:rPr>
              <w:t>云南</w:t>
            </w:r>
            <w:r>
              <w:rPr>
                <w:rFonts w:hint="default" w:ascii="Times New Roman" w:hAnsi="Times New Roman" w:cs="Times New Roman"/>
                <w:lang w:eastAsia="zh-CN"/>
              </w:rPr>
              <w:t>澄江</w:t>
            </w:r>
            <w:r>
              <w:rPr>
                <w:rFonts w:hint="default" w:ascii="Times New Roman" w:hAnsi="Times New Roman" w:cs="Times New Roman"/>
                <w:lang w:val="en-US" w:eastAsia="zh-CN"/>
              </w:rPr>
              <w:t>产业</w:t>
            </w:r>
            <w:r>
              <w:rPr>
                <w:rFonts w:hint="default" w:ascii="Times New Roman" w:hAnsi="Times New Roman" w:cs="Times New Roman"/>
                <w:lang w:eastAsia="zh-CN"/>
              </w:rPr>
              <w:t>园区提古片区</w:t>
            </w:r>
            <w:r>
              <w:rPr>
                <w:rFonts w:hint="default" w:ascii="Times New Roman" w:hAnsi="Times New Roman" w:cs="Times New Roman"/>
              </w:rPr>
              <w:t>；</w:t>
            </w:r>
          </w:p>
          <w:p>
            <w:pPr>
              <w:adjustRightInd w:val="0"/>
              <w:snapToGrid w:val="0"/>
              <w:spacing w:line="360" w:lineRule="auto"/>
              <w:ind w:firstLine="482" w:firstLineChars="200"/>
              <w:jc w:val="left"/>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lang w:val="en-US" w:eastAsia="zh-CN"/>
              </w:rPr>
              <w:t>2</w:t>
            </w:r>
            <w:r>
              <w:rPr>
                <w:rFonts w:hint="default" w:ascii="Times New Roman" w:hAnsi="Times New Roman" w:cs="Times New Roman" w:eastAsiaTheme="minorEastAsia"/>
                <w:b/>
                <w:bCs/>
                <w:color w:val="auto"/>
                <w:szCs w:val="21"/>
              </w:rPr>
              <w:t>、建设内容及产品方案</w:t>
            </w:r>
          </w:p>
          <w:p>
            <w:pPr>
              <w:bidi w:val="0"/>
              <w:rPr>
                <w:rFonts w:hint="default" w:ascii="Times New Roman" w:hAnsi="Times New Roman" w:cs="Times New Roman" w:eastAsiaTheme="minorEastAsia"/>
                <w:color w:val="auto"/>
                <w:szCs w:val="21"/>
              </w:rPr>
            </w:pPr>
            <w:r>
              <w:rPr>
                <w:rFonts w:hint="default" w:ascii="Times New Roman" w:hAnsi="Times New Roman" w:cs="Times New Roman"/>
                <w:color w:val="auto"/>
                <w:highlight w:val="none"/>
                <w:lang w:val="en-US" w:eastAsia="zh-CN"/>
              </w:rPr>
              <w:t>项目利用原项目3号厂房、综合楼（办公室、宿舍）等进行建设，厂房、综合楼均为独立建筑物，1层框架结构，高13米，总租用面积4100㎡，将原有1条钢化玻璃加工生产线、2条中空玻璃加工生产线进行升级改造，改造后取消钢化玻璃加工生产线，新增5条中空玻璃加工生产线，项目建成后共7条中空玻璃加工生产线，年产55万㎡中空玻璃</w:t>
            </w:r>
            <w:r>
              <w:rPr>
                <w:rFonts w:hint="default" w:ascii="Times New Roman" w:hAnsi="Times New Roman" w:cs="Times New Roman" w:eastAsiaTheme="minorEastAsia"/>
                <w:color w:val="auto"/>
                <w:szCs w:val="21"/>
              </w:rPr>
              <w:t>。项目主要建设内容见表2-1。</w:t>
            </w:r>
          </w:p>
          <w:p>
            <w:pPr>
              <w:pStyle w:val="36"/>
              <w:bidi w:val="0"/>
              <w:rPr>
                <w:rFonts w:hint="default" w:ascii="Times New Roman" w:hAnsi="Times New Roman" w:cs="Times New Roman"/>
              </w:rPr>
            </w:pPr>
            <w:r>
              <w:rPr>
                <w:rFonts w:hint="default" w:ascii="Times New Roman" w:hAnsi="Times New Roman" w:cs="Times New Roman"/>
              </w:rPr>
              <w:t>表2-1项目建设内容一览表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436"/>
              <w:gridCol w:w="433"/>
              <w:gridCol w:w="861"/>
              <w:gridCol w:w="433"/>
              <w:gridCol w:w="4422"/>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工程类别</w:t>
                  </w:r>
                </w:p>
              </w:tc>
              <w:tc>
                <w:tcPr>
                  <w:tcW w:w="1091" w:type="pct"/>
                  <w:gridSpan w:val="3"/>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工程名称</w:t>
                  </w:r>
                </w:p>
              </w:tc>
              <w:tc>
                <w:tcPr>
                  <w:tcW w:w="3062" w:type="pct"/>
                  <w:gridSpan w:val="2"/>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建设内容及规模</w:t>
                  </w:r>
                </w:p>
              </w:tc>
              <w:tc>
                <w:tcPr>
                  <w:tcW w:w="572" w:type="pct"/>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restart"/>
                  <w:noWrap w:val="0"/>
                  <w:vAlign w:val="center"/>
                </w:tcPr>
                <w:p>
                  <w:pPr>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主体工程</w:t>
                  </w:r>
                </w:p>
              </w:tc>
              <w:tc>
                <w:tcPr>
                  <w:tcW w:w="1091" w:type="pct"/>
                  <w:gridSpan w:val="3"/>
                  <w:noWrap w:val="0"/>
                  <w:vAlign w:val="center"/>
                </w:tcPr>
                <w:p>
                  <w:pPr>
                    <w:pStyle w:val="45"/>
                    <w:bidi w:val="0"/>
                    <w:rPr>
                      <w:rFonts w:hint="default" w:ascii="Times New Roman" w:hAnsi="Times New Roman" w:cs="Times New Roman"/>
                      <w:b w:val="0"/>
                      <w:bCs w:val="0"/>
                    </w:rPr>
                  </w:pPr>
                  <w:r>
                    <w:rPr>
                      <w:rFonts w:hint="default" w:ascii="Times New Roman" w:hAnsi="Times New Roman" w:cs="Times New Roman"/>
                      <w:b w:val="0"/>
                      <w:bCs w:val="0"/>
                    </w:rPr>
                    <w:t>生产厂房（</w:t>
                  </w:r>
                  <w:r>
                    <w:rPr>
                      <w:rFonts w:hint="default" w:ascii="Times New Roman" w:hAnsi="Times New Roman" w:cs="Times New Roman"/>
                      <w:b w:val="0"/>
                      <w:bCs w:val="0"/>
                      <w:lang w:val="en-US" w:eastAsia="zh-CN"/>
                    </w:rPr>
                    <w:t>3号</w:t>
                  </w:r>
                  <w:r>
                    <w:rPr>
                      <w:rFonts w:hint="default" w:ascii="Times New Roman" w:hAnsi="Times New Roman" w:cs="Times New Roman"/>
                      <w:b w:val="0"/>
                      <w:bCs w:val="0"/>
                    </w:rPr>
                    <w:t>）</w:t>
                  </w:r>
                </w:p>
              </w:tc>
              <w:tc>
                <w:tcPr>
                  <w:tcW w:w="3062" w:type="pct"/>
                  <w:gridSpan w:val="2"/>
                  <w:noWrap w:val="0"/>
                  <w:vAlign w:val="center"/>
                </w:tcPr>
                <w:p>
                  <w:pPr>
                    <w:pStyle w:val="45"/>
                    <w:keepNext w:val="0"/>
                    <w:keepLines w:val="0"/>
                    <w:pageBreakBefore w:val="0"/>
                    <w:wordWrap/>
                    <w:overflowPunct/>
                    <w:topLinePunct w:val="0"/>
                    <w:bidi w:val="0"/>
                    <w:spacing w:line="240" w:lineRule="auto"/>
                    <w:ind w:left="0" w:right="0" w:firstLine="420" w:firstLineChars="20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项目共1栋生产厂房，建筑面积为</w:t>
                  </w:r>
                  <w:r>
                    <w:rPr>
                      <w:rFonts w:hint="default" w:ascii="Times New Roman" w:hAnsi="Times New Roman" w:cs="Times New Roman"/>
                      <w:b w:val="0"/>
                      <w:bCs w:val="0"/>
                      <w:color w:val="auto"/>
                      <w:sz w:val="21"/>
                      <w:szCs w:val="21"/>
                      <w:lang w:val="en-US" w:eastAsia="zh-CN"/>
                    </w:rPr>
                    <w:t>4100</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，1层框架结构，高13米。主要分为原料区、生产区、成品区。</w:t>
                  </w:r>
                  <w:r>
                    <w:rPr>
                      <w:rFonts w:hint="default" w:ascii="Times New Roman" w:hAnsi="Times New Roman" w:cs="Times New Roman"/>
                      <w:b w:val="0"/>
                      <w:bCs w:val="0"/>
                      <w:color w:val="auto"/>
                      <w:sz w:val="21"/>
                      <w:szCs w:val="21"/>
                      <w:lang w:val="en-US" w:eastAsia="zh-CN"/>
                    </w:rPr>
                    <w:t>7</w:t>
                  </w:r>
                  <w:r>
                    <w:rPr>
                      <w:rFonts w:hint="default" w:ascii="Times New Roman" w:hAnsi="Times New Roman" w:cs="Times New Roman"/>
                      <w:b w:val="0"/>
                      <w:bCs w:val="0"/>
                      <w:color w:val="auto"/>
                      <w:sz w:val="21"/>
                      <w:szCs w:val="21"/>
                    </w:rPr>
                    <w:t>条中空玻璃加工生产线。</w:t>
                  </w:r>
                </w:p>
              </w:tc>
              <w:tc>
                <w:tcPr>
                  <w:tcW w:w="572" w:type="pct"/>
                  <w:vMerge w:val="restart"/>
                  <w:noWrap w:val="0"/>
                  <w:vAlign w:val="center"/>
                </w:tcPr>
                <w:p>
                  <w:pPr>
                    <w:pStyle w:val="11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利用现有年加工25万㎡</w:t>
                  </w:r>
                </w:p>
                <w:p>
                  <w:pPr>
                    <w:pStyle w:val="11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门窗玻璃建设项目进行改扩建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8" w:type="pct"/>
                  <w:gridSpan w:val="2"/>
                  <w:vMerge w:val="restart"/>
                  <w:noWrap w:val="0"/>
                  <w:vAlign w:val="center"/>
                </w:tcPr>
                <w:p>
                  <w:pPr>
                    <w:pStyle w:val="45"/>
                    <w:bidi w:val="0"/>
                    <w:rPr>
                      <w:rFonts w:hint="default" w:ascii="Times New Roman" w:hAnsi="Times New Roman" w:cs="Times New Roman"/>
                      <w:b w:val="0"/>
                      <w:bCs w:val="0"/>
                    </w:rPr>
                  </w:pPr>
                  <w:r>
                    <w:rPr>
                      <w:rFonts w:hint="default" w:ascii="Times New Roman" w:hAnsi="Times New Roman" w:cs="Times New Roman"/>
                      <w:b w:val="0"/>
                      <w:bCs w:val="0"/>
                    </w:rPr>
                    <w:t>中空玻璃加工生产线</w:t>
                  </w:r>
                </w:p>
              </w:tc>
              <w:tc>
                <w:tcPr>
                  <w:tcW w:w="543" w:type="pct"/>
                  <w:noWrap w:val="0"/>
                  <w:vAlign w:val="center"/>
                </w:tcPr>
                <w:p>
                  <w:pPr>
                    <w:pStyle w:val="45"/>
                    <w:bidi w:val="0"/>
                    <w:rPr>
                      <w:rFonts w:hint="default" w:ascii="Times New Roman" w:hAnsi="Times New Roman" w:cs="Times New Roman"/>
                      <w:b w:val="0"/>
                      <w:bCs w:val="0"/>
                    </w:rPr>
                  </w:pPr>
                  <w:r>
                    <w:rPr>
                      <w:rFonts w:hint="default" w:ascii="Times New Roman" w:hAnsi="Times New Roman" w:cs="Times New Roman"/>
                      <w:b w:val="0"/>
                      <w:bCs w:val="0"/>
                    </w:rPr>
                    <w:t>灌装合胶</w:t>
                  </w:r>
                </w:p>
              </w:tc>
              <w:tc>
                <w:tcPr>
                  <w:tcW w:w="3062" w:type="pct"/>
                  <w:gridSpan w:val="2"/>
                  <w:noWrap w:val="0"/>
                  <w:vAlign w:val="center"/>
                </w:tcPr>
                <w:p>
                  <w:pPr>
                    <w:pStyle w:val="114"/>
                    <w:keepNext w:val="0"/>
                    <w:keepLines w:val="0"/>
                    <w:pageBreakBefore w:val="0"/>
                    <w:wordWrap/>
                    <w:overflowPunct/>
                    <w:topLinePunct w:val="0"/>
                    <w:bidi w:val="0"/>
                    <w:spacing w:line="240" w:lineRule="auto"/>
                    <w:ind w:left="0" w:right="0" w:firstLine="440"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pacing w:val="5"/>
                      <w:sz w:val="21"/>
                      <w:szCs w:val="21"/>
                    </w:rPr>
                    <w:t>位于厂房内北侧，占地面积为</w:t>
                  </w:r>
                  <w:r>
                    <w:rPr>
                      <w:rFonts w:hint="default" w:ascii="Times New Roman" w:hAnsi="Times New Roman" w:eastAsia="宋体" w:cs="Times New Roman"/>
                      <w:b w:val="0"/>
                      <w:bCs w:val="0"/>
                      <w:color w:val="auto"/>
                      <w:spacing w:val="5"/>
                      <w:sz w:val="21"/>
                      <w:szCs w:val="21"/>
                      <w:lang w:val="en-US" w:eastAsia="zh-CN"/>
                    </w:rPr>
                    <w:t>2280</w:t>
                  </w:r>
                  <w:r>
                    <w:rPr>
                      <w:rFonts w:hint="default" w:ascii="Times New Roman" w:hAnsi="Times New Roman" w:eastAsia="宋体" w:cs="Times New Roman"/>
                      <w:b w:val="0"/>
                      <w:bCs w:val="0"/>
                      <w:color w:val="auto"/>
                      <w:spacing w:val="4"/>
                      <w:sz w:val="21"/>
                      <w:szCs w:val="21"/>
                      <w:lang w:eastAsia="zh-CN"/>
                    </w:rPr>
                    <w:t>㎡</w:t>
                  </w:r>
                  <w:r>
                    <w:rPr>
                      <w:rFonts w:hint="default" w:ascii="Times New Roman" w:hAnsi="Times New Roman" w:cs="Times New Roman"/>
                      <w:b w:val="0"/>
                      <w:bCs w:val="0"/>
                      <w:color w:val="auto"/>
                      <w:spacing w:val="4"/>
                      <w:sz w:val="21"/>
                      <w:szCs w:val="21"/>
                      <w:lang w:eastAsia="zh-CN"/>
                    </w:rPr>
                    <w:t>，</w:t>
                  </w:r>
                  <w:r>
                    <w:rPr>
                      <w:rFonts w:hint="eastAsia" w:ascii="Times New Roman" w:hAnsi="Times New Roman" w:cs="Times New Roman"/>
                      <w:b w:val="0"/>
                      <w:bCs w:val="0"/>
                      <w:color w:val="auto"/>
                      <w:spacing w:val="10"/>
                      <w:sz w:val="21"/>
                      <w:szCs w:val="21"/>
                      <w:lang w:eastAsia="zh-CN"/>
                    </w:rPr>
                    <w:t>主要</w:t>
                  </w:r>
                  <w:r>
                    <w:rPr>
                      <w:rFonts w:hint="default" w:ascii="Times New Roman" w:hAnsi="Times New Roman" w:cs="Times New Roman"/>
                      <w:b w:val="0"/>
                      <w:bCs w:val="0"/>
                      <w:color w:val="auto"/>
                      <w:spacing w:val="10"/>
                      <w:sz w:val="21"/>
                      <w:szCs w:val="21"/>
                      <w:lang w:val="en-US" w:eastAsia="zh-CN"/>
                    </w:rPr>
                    <w:t>用于</w:t>
                  </w:r>
                  <w:r>
                    <w:rPr>
                      <w:rFonts w:hint="default" w:ascii="Times New Roman" w:hAnsi="Times New Roman" w:cs="Times New Roman"/>
                      <w:b w:val="0"/>
                      <w:bCs w:val="0"/>
                    </w:rPr>
                    <w:t>灌装合胶</w:t>
                  </w:r>
                  <w:r>
                    <w:rPr>
                      <w:rFonts w:hint="default" w:ascii="Times New Roman" w:hAnsi="Times New Roman" w:cs="Times New Roman"/>
                      <w:b w:val="0"/>
                      <w:bCs w:val="0"/>
                      <w:lang w:eastAsia="zh-CN"/>
                    </w:rPr>
                    <w:t>。</w:t>
                  </w:r>
                </w:p>
                <w:p>
                  <w:pPr>
                    <w:pStyle w:val="114"/>
                    <w:keepNext w:val="0"/>
                    <w:keepLines w:val="0"/>
                    <w:pageBreakBefore w:val="0"/>
                    <w:wordWrap/>
                    <w:overflowPunct/>
                    <w:topLinePunct w:val="0"/>
                    <w:bidi w:val="0"/>
                    <w:spacing w:line="240" w:lineRule="auto"/>
                    <w:ind w:left="0" w:leftChars="0" w:right="0" w:rightChars="0" w:firstLine="0" w:firstLineChars="0"/>
                    <w:jc w:val="left"/>
                    <w:rPr>
                      <w:rFonts w:hint="default" w:ascii="Times New Roman" w:hAnsi="Times New Roman" w:cs="Times New Roman"/>
                      <w:b w:val="0"/>
                      <w:bCs w:val="0"/>
                      <w:color w:val="auto"/>
                      <w:sz w:val="21"/>
                      <w:szCs w:val="21"/>
                    </w:rPr>
                  </w:pPr>
                </w:p>
              </w:tc>
              <w:tc>
                <w:tcPr>
                  <w:tcW w:w="572"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8" w:type="pct"/>
                  <w:gridSpan w:val="2"/>
                  <w:vMerge w:val="continue"/>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3" w:type="pct"/>
                  <w:noWrap w:val="0"/>
                  <w:vAlign w:val="center"/>
                </w:tcPr>
                <w:p>
                  <w:pPr>
                    <w:pStyle w:val="45"/>
                    <w:bidi w:val="0"/>
                    <w:rPr>
                      <w:rFonts w:hint="default" w:ascii="Times New Roman" w:hAnsi="Times New Roman" w:cs="Times New Roman"/>
                      <w:b w:val="0"/>
                      <w:bCs w:val="0"/>
                    </w:rPr>
                  </w:pPr>
                  <w:r>
                    <w:rPr>
                      <w:rFonts w:hint="default" w:ascii="Times New Roman" w:hAnsi="Times New Roman" w:cs="Times New Roman"/>
                      <w:b w:val="0"/>
                      <w:bCs w:val="0"/>
                    </w:rPr>
                    <w:t>合片平压</w:t>
                  </w:r>
                </w:p>
              </w:tc>
              <w:tc>
                <w:tcPr>
                  <w:tcW w:w="3062" w:type="pct"/>
                  <w:gridSpan w:val="2"/>
                  <w:noWrap w:val="0"/>
                  <w:vAlign w:val="center"/>
                </w:tcPr>
                <w:p>
                  <w:pPr>
                    <w:pStyle w:val="114"/>
                    <w:keepNext w:val="0"/>
                    <w:keepLines w:val="0"/>
                    <w:pageBreakBefore w:val="0"/>
                    <w:wordWrap/>
                    <w:overflowPunct/>
                    <w:topLinePunct w:val="0"/>
                    <w:bidi w:val="0"/>
                    <w:spacing w:line="240" w:lineRule="auto"/>
                    <w:ind w:left="0" w:right="0" w:firstLine="460" w:firstLineChars="200"/>
                    <w:jc w:val="left"/>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pacing w:val="10"/>
                      <w:sz w:val="21"/>
                      <w:szCs w:val="21"/>
                    </w:rPr>
                    <w:t>合片平压工段</w:t>
                  </w:r>
                  <w:r>
                    <w:rPr>
                      <w:rFonts w:hint="default" w:ascii="Times New Roman" w:hAnsi="Times New Roman" w:cs="Times New Roman"/>
                      <w:b w:val="0"/>
                      <w:bCs w:val="0"/>
                      <w:color w:val="auto"/>
                      <w:spacing w:val="10"/>
                      <w:sz w:val="21"/>
                      <w:szCs w:val="21"/>
                      <w:lang w:val="en-US" w:eastAsia="zh-CN"/>
                    </w:rPr>
                    <w:t>位于厂房中部，</w:t>
                  </w:r>
                  <w:r>
                    <w:rPr>
                      <w:rFonts w:hint="default" w:ascii="Times New Roman" w:hAnsi="Times New Roman" w:cs="Times New Roman"/>
                      <w:b w:val="0"/>
                      <w:bCs w:val="0"/>
                      <w:color w:val="auto"/>
                      <w:spacing w:val="8"/>
                      <w:sz w:val="21"/>
                      <w:szCs w:val="21"/>
                    </w:rPr>
                    <w:t>占地面积为</w:t>
                  </w:r>
                  <w:r>
                    <w:rPr>
                      <w:rFonts w:hint="default" w:ascii="Times New Roman" w:hAnsi="Times New Roman" w:eastAsia="Times New Roman" w:cs="Times New Roman"/>
                      <w:b w:val="0"/>
                      <w:bCs w:val="0"/>
                      <w:color w:val="auto"/>
                      <w:spacing w:val="8"/>
                      <w:sz w:val="21"/>
                      <w:szCs w:val="21"/>
                    </w:rPr>
                    <w:t>1</w:t>
                  </w:r>
                  <w:r>
                    <w:rPr>
                      <w:rFonts w:hint="default" w:ascii="Times New Roman" w:hAnsi="Times New Roman" w:eastAsia="宋体" w:cs="Times New Roman"/>
                      <w:b w:val="0"/>
                      <w:bCs w:val="0"/>
                      <w:color w:val="auto"/>
                      <w:spacing w:val="8"/>
                      <w:sz w:val="21"/>
                      <w:szCs w:val="21"/>
                      <w:lang w:val="en-US" w:eastAsia="zh-CN"/>
                    </w:rPr>
                    <w:t>5</w:t>
                  </w:r>
                  <w:r>
                    <w:rPr>
                      <w:rFonts w:hint="default" w:ascii="Times New Roman" w:hAnsi="Times New Roman" w:eastAsia="Times New Roman" w:cs="Times New Roman"/>
                      <w:b w:val="0"/>
                      <w:bCs w:val="0"/>
                      <w:color w:val="auto"/>
                      <w:spacing w:val="8"/>
                      <w:sz w:val="21"/>
                      <w:szCs w:val="21"/>
                    </w:rPr>
                    <w:t>00</w:t>
                  </w:r>
                  <w:r>
                    <w:rPr>
                      <w:rFonts w:hint="default" w:ascii="Times New Roman" w:hAnsi="Times New Roman" w:eastAsia="宋体" w:cs="Times New Roman"/>
                      <w:b w:val="0"/>
                      <w:bCs w:val="0"/>
                      <w:color w:val="auto"/>
                      <w:spacing w:val="8"/>
                      <w:sz w:val="21"/>
                      <w:szCs w:val="21"/>
                      <w:lang w:eastAsia="zh-CN"/>
                    </w:rPr>
                    <w:t>㎡</w:t>
                  </w:r>
                  <w:r>
                    <w:rPr>
                      <w:rFonts w:hint="default" w:ascii="Times New Roman" w:hAnsi="Times New Roman" w:cs="Times New Roman"/>
                      <w:b w:val="0"/>
                      <w:bCs w:val="0"/>
                      <w:color w:val="auto"/>
                      <w:spacing w:val="8"/>
                      <w:sz w:val="21"/>
                      <w:szCs w:val="21"/>
                      <w:lang w:eastAsia="zh-CN"/>
                    </w:rPr>
                    <w:t>，</w:t>
                  </w:r>
                  <w:r>
                    <w:rPr>
                      <w:rFonts w:hint="default" w:ascii="Times New Roman" w:hAnsi="Times New Roman" w:cs="Times New Roman"/>
                      <w:b w:val="0"/>
                      <w:bCs w:val="0"/>
                      <w:color w:val="auto"/>
                      <w:spacing w:val="10"/>
                      <w:sz w:val="21"/>
                      <w:szCs w:val="21"/>
                    </w:rPr>
                    <w:t>主要</w:t>
                  </w:r>
                  <w:r>
                    <w:rPr>
                      <w:rFonts w:hint="default" w:ascii="Times New Roman" w:hAnsi="Times New Roman" w:cs="Times New Roman"/>
                      <w:b w:val="0"/>
                      <w:bCs w:val="0"/>
                      <w:color w:val="auto"/>
                      <w:spacing w:val="10"/>
                      <w:sz w:val="21"/>
                      <w:szCs w:val="21"/>
                      <w:lang w:val="en-US" w:eastAsia="zh-CN"/>
                    </w:rPr>
                    <w:t>将</w:t>
                  </w:r>
                  <w:r>
                    <w:rPr>
                      <w:rFonts w:hint="default" w:ascii="Times New Roman" w:hAnsi="Times New Roman" w:cs="Times New Roman"/>
                      <w:b w:val="0"/>
                      <w:bCs w:val="0"/>
                      <w:color w:val="auto"/>
                      <w:spacing w:val="10"/>
                      <w:sz w:val="21"/>
                      <w:szCs w:val="21"/>
                    </w:rPr>
                    <w:t>灌装合胶后的玻璃通过中空机进</w:t>
                  </w:r>
                  <w:r>
                    <w:rPr>
                      <w:rFonts w:hint="default" w:ascii="Times New Roman" w:hAnsi="Times New Roman" w:cs="Times New Roman"/>
                      <w:b w:val="0"/>
                      <w:bCs w:val="0"/>
                      <w:color w:val="auto"/>
                      <w:spacing w:val="8"/>
                      <w:sz w:val="21"/>
                      <w:szCs w:val="21"/>
                    </w:rPr>
                    <w:t>行合片并平压，以保证合片结构更加稳定</w:t>
                  </w:r>
                  <w:r>
                    <w:rPr>
                      <w:rFonts w:hint="default" w:ascii="Times New Roman" w:hAnsi="Times New Roman" w:cs="Times New Roman"/>
                      <w:b w:val="0"/>
                      <w:bCs w:val="0"/>
                      <w:color w:val="auto"/>
                      <w:spacing w:val="8"/>
                      <w:sz w:val="21"/>
                      <w:szCs w:val="21"/>
                      <w:lang w:eastAsia="zh-CN"/>
                    </w:rPr>
                    <w:t>。</w:t>
                  </w:r>
                </w:p>
                <w:p>
                  <w:pPr>
                    <w:pStyle w:val="114"/>
                    <w:keepNext w:val="0"/>
                    <w:keepLines w:val="0"/>
                    <w:pageBreakBefore w:val="0"/>
                    <w:wordWrap/>
                    <w:overflowPunct/>
                    <w:topLinePunct w:val="0"/>
                    <w:bidi w:val="0"/>
                    <w:spacing w:line="240" w:lineRule="auto"/>
                    <w:ind w:left="0" w:right="0" w:firstLine="0" w:firstLineChars="0"/>
                    <w:jc w:val="left"/>
                    <w:rPr>
                      <w:rFonts w:hint="default" w:ascii="Times New Roman" w:hAnsi="Times New Roman" w:cs="Times New Roman"/>
                      <w:b w:val="0"/>
                      <w:bCs w:val="0"/>
                      <w:color w:val="auto"/>
                      <w:sz w:val="21"/>
                      <w:szCs w:val="21"/>
                    </w:rPr>
                  </w:pPr>
                </w:p>
              </w:tc>
              <w:tc>
                <w:tcPr>
                  <w:tcW w:w="572"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8" w:type="pct"/>
                  <w:gridSpan w:val="2"/>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3" w:type="pct"/>
                  <w:noWrap w:val="0"/>
                  <w:vAlign w:val="center"/>
                </w:tcPr>
                <w:p>
                  <w:pPr>
                    <w:pStyle w:val="45"/>
                    <w:bidi w:val="0"/>
                    <w:rPr>
                      <w:rFonts w:hint="default" w:ascii="Times New Roman" w:hAnsi="Times New Roman" w:cs="Times New Roman"/>
                      <w:b w:val="0"/>
                      <w:bCs w:val="0"/>
                    </w:rPr>
                  </w:pPr>
                  <w:r>
                    <w:rPr>
                      <w:rFonts w:hint="default" w:ascii="Times New Roman" w:hAnsi="Times New Roman" w:cs="Times New Roman"/>
                      <w:b w:val="0"/>
                      <w:bCs w:val="0"/>
                    </w:rPr>
                    <w:t>密封</w:t>
                  </w:r>
                </w:p>
              </w:tc>
              <w:tc>
                <w:tcPr>
                  <w:tcW w:w="3062" w:type="pct"/>
                  <w:gridSpan w:val="2"/>
                  <w:noWrap w:val="0"/>
                  <w:vAlign w:val="center"/>
                </w:tcPr>
                <w:p>
                  <w:pPr>
                    <w:pStyle w:val="114"/>
                    <w:keepNext w:val="0"/>
                    <w:keepLines w:val="0"/>
                    <w:pageBreakBefore w:val="0"/>
                    <w:wordWrap/>
                    <w:overflowPunct/>
                    <w:topLinePunct w:val="0"/>
                    <w:bidi w:val="0"/>
                    <w:spacing w:line="240" w:lineRule="auto"/>
                    <w:ind w:left="0" w:right="0" w:firstLine="460" w:firstLineChars="20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10"/>
                      <w:sz w:val="21"/>
                      <w:szCs w:val="21"/>
                    </w:rPr>
                    <w:t>密封工段</w:t>
                  </w:r>
                  <w:r>
                    <w:rPr>
                      <w:rFonts w:hint="default" w:ascii="Times New Roman" w:hAnsi="Times New Roman" w:cs="Times New Roman"/>
                      <w:b w:val="0"/>
                      <w:bCs w:val="0"/>
                      <w:color w:val="auto"/>
                      <w:spacing w:val="10"/>
                      <w:sz w:val="21"/>
                      <w:szCs w:val="21"/>
                      <w:lang w:val="en-US" w:eastAsia="zh-CN"/>
                    </w:rPr>
                    <w:t>位于厂房中部与</w:t>
                  </w:r>
                  <w:r>
                    <w:rPr>
                      <w:rFonts w:hint="default" w:ascii="Times New Roman" w:hAnsi="Times New Roman" w:cs="Times New Roman"/>
                      <w:b w:val="0"/>
                      <w:bCs w:val="0"/>
                    </w:rPr>
                    <w:t>合片平压</w:t>
                  </w:r>
                  <w:r>
                    <w:rPr>
                      <w:rFonts w:hint="default" w:ascii="Times New Roman" w:hAnsi="Times New Roman" w:cs="Times New Roman"/>
                      <w:b w:val="0"/>
                      <w:bCs w:val="0"/>
                      <w:lang w:val="en-US" w:eastAsia="zh-CN"/>
                    </w:rPr>
                    <w:t>相连，</w:t>
                  </w:r>
                  <w:r>
                    <w:rPr>
                      <w:rFonts w:hint="default" w:ascii="Times New Roman" w:hAnsi="Times New Roman" w:cs="Times New Roman"/>
                      <w:b w:val="0"/>
                      <w:bCs w:val="0"/>
                      <w:color w:val="auto"/>
                      <w:spacing w:val="10"/>
                      <w:sz w:val="21"/>
                      <w:szCs w:val="21"/>
                      <w:lang w:val="en-US" w:eastAsia="zh-CN"/>
                    </w:rPr>
                    <w:t>占地面积150</w:t>
                  </w:r>
                  <w:r>
                    <w:rPr>
                      <w:rFonts w:hint="default" w:ascii="Times New Roman" w:hAnsi="Times New Roman" w:eastAsia="宋体" w:cs="Times New Roman"/>
                      <w:b w:val="0"/>
                      <w:bCs w:val="0"/>
                      <w:color w:val="auto"/>
                      <w:spacing w:val="8"/>
                      <w:sz w:val="21"/>
                      <w:szCs w:val="21"/>
                      <w:lang w:eastAsia="zh-CN"/>
                    </w:rPr>
                    <w:t>㎡</w:t>
                  </w:r>
                  <w:r>
                    <w:rPr>
                      <w:rFonts w:hint="default" w:ascii="Times New Roman" w:hAnsi="Times New Roman" w:eastAsia="宋体" w:cs="Times New Roman"/>
                      <w:b w:val="0"/>
                      <w:bCs w:val="0"/>
                      <w:color w:val="auto"/>
                      <w:spacing w:val="8"/>
                      <w:sz w:val="21"/>
                      <w:szCs w:val="21"/>
                      <w:vertAlign w:val="baseline"/>
                      <w:lang w:val="en-US" w:eastAsia="zh-CN"/>
                    </w:rPr>
                    <w:t>，</w:t>
                  </w:r>
                  <w:r>
                    <w:rPr>
                      <w:rFonts w:hint="default" w:ascii="Times New Roman" w:hAnsi="Times New Roman" w:cs="Times New Roman"/>
                      <w:b w:val="0"/>
                      <w:bCs w:val="0"/>
                      <w:color w:val="auto"/>
                      <w:spacing w:val="10"/>
                      <w:sz w:val="21"/>
                      <w:szCs w:val="21"/>
                    </w:rPr>
                    <w:t>主要</w:t>
                  </w:r>
                  <w:r>
                    <w:rPr>
                      <w:rFonts w:hint="default" w:ascii="Times New Roman" w:hAnsi="Times New Roman" w:cs="Times New Roman"/>
                      <w:b w:val="0"/>
                      <w:bCs w:val="0"/>
                      <w:color w:val="auto"/>
                      <w:spacing w:val="10"/>
                      <w:sz w:val="21"/>
                      <w:szCs w:val="21"/>
                      <w:lang w:val="en-US" w:eastAsia="zh-CN"/>
                    </w:rPr>
                    <w:t>是</w:t>
                  </w:r>
                  <w:r>
                    <w:rPr>
                      <w:rFonts w:hint="default" w:ascii="Times New Roman" w:hAnsi="Times New Roman" w:cs="Times New Roman"/>
                      <w:b w:val="0"/>
                      <w:bCs w:val="0"/>
                      <w:color w:val="auto"/>
                      <w:spacing w:val="10"/>
                      <w:sz w:val="21"/>
                      <w:szCs w:val="21"/>
                    </w:rPr>
                    <w:t>经平压后的玻璃用双组份硅酮</w:t>
                  </w:r>
                  <w:r>
                    <w:rPr>
                      <w:rFonts w:hint="default" w:ascii="Times New Roman" w:hAnsi="Times New Roman" w:cs="Times New Roman"/>
                      <w:b w:val="0"/>
                      <w:bCs w:val="0"/>
                      <w:color w:val="auto"/>
                      <w:spacing w:val="8"/>
                      <w:sz w:val="21"/>
                      <w:szCs w:val="21"/>
                    </w:rPr>
                    <w:t>结构密封胶密封后即为中空玻璃。</w:t>
                  </w:r>
                </w:p>
              </w:tc>
              <w:tc>
                <w:tcPr>
                  <w:tcW w:w="572"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8" w:type="pct"/>
                  <w:gridSpan w:val="2"/>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3" w:type="pct"/>
                  <w:noWrap w:val="0"/>
                  <w:vAlign w:val="center"/>
                </w:tcPr>
                <w:p>
                  <w:pPr>
                    <w:pStyle w:val="45"/>
                    <w:bidi w:val="0"/>
                    <w:rPr>
                      <w:rFonts w:hint="default" w:ascii="Times New Roman" w:hAnsi="Times New Roman" w:cs="Times New Roman"/>
                      <w:b w:val="0"/>
                      <w:bCs w:val="0"/>
                    </w:rPr>
                  </w:pPr>
                  <w:r>
                    <w:rPr>
                      <w:rFonts w:hint="default" w:ascii="Times New Roman" w:hAnsi="Times New Roman" w:cs="Times New Roman"/>
                      <w:b w:val="0"/>
                      <w:bCs w:val="0"/>
                    </w:rPr>
                    <w:t>检验入库（打包区）</w:t>
                  </w:r>
                </w:p>
              </w:tc>
              <w:tc>
                <w:tcPr>
                  <w:tcW w:w="3062" w:type="pct"/>
                  <w:gridSpan w:val="2"/>
                  <w:noWrap w:val="0"/>
                  <w:vAlign w:val="center"/>
                </w:tcPr>
                <w:p>
                  <w:pPr>
                    <w:pStyle w:val="114"/>
                    <w:keepNext w:val="0"/>
                    <w:keepLines w:val="0"/>
                    <w:pageBreakBefore w:val="0"/>
                    <w:wordWrap/>
                    <w:overflowPunct/>
                    <w:topLinePunct w:val="0"/>
                    <w:bidi w:val="0"/>
                    <w:spacing w:line="240" w:lineRule="auto"/>
                    <w:ind w:left="0" w:right="0" w:firstLine="436" w:firstLineChars="20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4"/>
                      <w:sz w:val="21"/>
                      <w:szCs w:val="21"/>
                    </w:rPr>
                    <w:t>位于厂房内东侧，占地面积为</w:t>
                  </w:r>
                  <w:r>
                    <w:rPr>
                      <w:rFonts w:hint="default" w:ascii="Times New Roman" w:hAnsi="Times New Roman" w:eastAsia="Times New Roman" w:cs="Times New Roman"/>
                      <w:b w:val="0"/>
                      <w:bCs w:val="0"/>
                      <w:color w:val="auto"/>
                      <w:spacing w:val="4"/>
                      <w:sz w:val="21"/>
                      <w:szCs w:val="21"/>
                    </w:rPr>
                    <w:t>300</w:t>
                  </w:r>
                  <w:r>
                    <w:rPr>
                      <w:rFonts w:hint="default" w:ascii="Times New Roman" w:hAnsi="Times New Roman" w:eastAsia="宋体" w:cs="Times New Roman"/>
                      <w:b w:val="0"/>
                      <w:bCs w:val="0"/>
                      <w:color w:val="auto"/>
                      <w:spacing w:val="7"/>
                      <w:sz w:val="21"/>
                      <w:szCs w:val="21"/>
                      <w:lang w:eastAsia="zh-CN"/>
                    </w:rPr>
                    <w:t>㎡</w:t>
                  </w:r>
                  <w:r>
                    <w:rPr>
                      <w:rFonts w:hint="default" w:ascii="Times New Roman" w:hAnsi="Times New Roman" w:cs="Times New Roman"/>
                      <w:b w:val="0"/>
                      <w:bCs w:val="0"/>
                      <w:color w:val="auto"/>
                      <w:spacing w:val="4"/>
                      <w:sz w:val="21"/>
                      <w:szCs w:val="21"/>
                    </w:rPr>
                    <w:t>。</w:t>
                  </w:r>
                </w:p>
                <w:p>
                  <w:pPr>
                    <w:pStyle w:val="114"/>
                    <w:keepNext w:val="0"/>
                    <w:keepLines w:val="0"/>
                    <w:pageBreakBefore w:val="0"/>
                    <w:wordWrap/>
                    <w:overflowPunct/>
                    <w:topLinePunct w:val="0"/>
                    <w:bidi w:val="0"/>
                    <w:spacing w:line="240" w:lineRule="auto"/>
                    <w:ind w:left="0" w:right="0" w:firstLine="0" w:firstLineChars="0"/>
                    <w:jc w:val="left"/>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pacing w:val="9"/>
                      <w:sz w:val="21"/>
                      <w:szCs w:val="21"/>
                    </w:rPr>
                    <w:t>主要</w:t>
                  </w:r>
                  <w:r>
                    <w:rPr>
                      <w:rFonts w:hint="default" w:ascii="Times New Roman" w:hAnsi="Times New Roman" w:cs="Times New Roman"/>
                      <w:b w:val="0"/>
                      <w:bCs w:val="0"/>
                      <w:color w:val="auto"/>
                      <w:spacing w:val="9"/>
                      <w:sz w:val="21"/>
                      <w:szCs w:val="21"/>
                      <w:lang w:val="en-US" w:eastAsia="zh-CN"/>
                    </w:rPr>
                    <w:t>是</w:t>
                  </w:r>
                  <w:r>
                    <w:rPr>
                      <w:rFonts w:hint="default" w:ascii="Times New Roman" w:hAnsi="Times New Roman" w:cs="Times New Roman"/>
                      <w:b w:val="0"/>
                      <w:bCs w:val="0"/>
                      <w:color w:val="auto"/>
                      <w:spacing w:val="9"/>
                      <w:sz w:val="21"/>
                      <w:szCs w:val="21"/>
                    </w:rPr>
                    <w:t>通过人工检验外观是否存在破损和裂痕，满足产品要求后上架成品。次品玻璃作为废玻璃存放于一般固废暂存间定期外</w:t>
                  </w:r>
                  <w:r>
                    <w:rPr>
                      <w:rFonts w:hint="default" w:ascii="Times New Roman" w:hAnsi="Times New Roman" w:cs="Times New Roman"/>
                      <w:b w:val="0"/>
                      <w:bCs w:val="0"/>
                      <w:color w:val="auto"/>
                      <w:sz w:val="21"/>
                      <w:szCs w:val="21"/>
                    </w:rPr>
                    <w:t>售。</w:t>
                  </w:r>
                  <w:r>
                    <w:rPr>
                      <w:rFonts w:hint="default" w:ascii="Times New Roman" w:hAnsi="Times New Roman" w:cs="Times New Roman"/>
                      <w:b w:val="0"/>
                      <w:bCs w:val="0"/>
                      <w:color w:val="auto"/>
                      <w:sz w:val="21"/>
                      <w:szCs w:val="21"/>
                      <w:lang w:eastAsia="zh-CN"/>
                    </w:rPr>
                    <w:t>、</w:t>
                  </w:r>
                </w:p>
              </w:tc>
              <w:tc>
                <w:tcPr>
                  <w:tcW w:w="572"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restart"/>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辅助工程</w:t>
                  </w:r>
                </w:p>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1091" w:type="pct"/>
                  <w:gridSpan w:val="3"/>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综合楼</w:t>
                  </w:r>
                </w:p>
              </w:tc>
              <w:tc>
                <w:tcPr>
                  <w:tcW w:w="3062" w:type="pct"/>
                  <w:gridSpan w:val="2"/>
                  <w:noWrap w:val="0"/>
                  <w:vAlign w:val="center"/>
                </w:tcPr>
                <w:p>
                  <w:pPr>
                    <w:pStyle w:val="45"/>
                    <w:keepNext w:val="0"/>
                    <w:keepLines w:val="0"/>
                    <w:pageBreakBefore w:val="0"/>
                    <w:wordWrap/>
                    <w:overflowPunct/>
                    <w:topLinePunct w:val="0"/>
                    <w:bidi w:val="0"/>
                    <w:adjustRightInd w:val="0"/>
                    <w:snapToGrid w:val="0"/>
                    <w:spacing w:line="240" w:lineRule="auto"/>
                    <w:ind w:left="0" w:right="0" w:firstLine="456" w:firstLineChars="200"/>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9"/>
                      <w:sz w:val="21"/>
                      <w:szCs w:val="21"/>
                    </w:rPr>
                    <w:t>租用</w:t>
                  </w:r>
                  <w:r>
                    <w:rPr>
                      <w:rFonts w:hint="default" w:ascii="Times New Roman" w:hAnsi="Times New Roman" w:cs="Times New Roman"/>
                      <w:b w:val="0"/>
                      <w:bCs w:val="0"/>
                      <w:color w:val="auto"/>
                      <w:spacing w:val="9"/>
                      <w:sz w:val="21"/>
                      <w:szCs w:val="21"/>
                      <w:lang w:eastAsia="zh-CN"/>
                    </w:rPr>
                    <w:t>云南鑫成鹏高分子科技有限公司</w:t>
                  </w:r>
                  <w:r>
                    <w:rPr>
                      <w:rFonts w:hint="default" w:ascii="Times New Roman" w:hAnsi="Times New Roman" w:cs="Times New Roman"/>
                      <w:b w:val="0"/>
                      <w:bCs w:val="0"/>
                      <w:color w:val="auto"/>
                      <w:spacing w:val="9"/>
                      <w:sz w:val="21"/>
                      <w:szCs w:val="21"/>
                    </w:rPr>
                    <w:t>的综合楼，位于</w:t>
                  </w:r>
                  <w:r>
                    <w:rPr>
                      <w:rFonts w:hint="default" w:ascii="Times New Roman" w:hAnsi="Times New Roman" w:cs="Times New Roman"/>
                      <w:b w:val="0"/>
                      <w:bCs w:val="0"/>
                      <w:color w:val="auto"/>
                      <w:spacing w:val="5"/>
                      <w:sz w:val="21"/>
                      <w:szCs w:val="21"/>
                    </w:rPr>
                    <w:t>厂房北侧，楼层数为</w:t>
                  </w:r>
                  <w:r>
                    <w:rPr>
                      <w:rFonts w:hint="default" w:ascii="Times New Roman" w:hAnsi="Times New Roman" w:eastAsia="Times New Roman" w:cs="Times New Roman"/>
                      <w:b w:val="0"/>
                      <w:bCs w:val="0"/>
                      <w:color w:val="auto"/>
                      <w:spacing w:val="5"/>
                      <w:sz w:val="21"/>
                      <w:szCs w:val="21"/>
                    </w:rPr>
                    <w:t>2</w:t>
                  </w:r>
                  <w:r>
                    <w:rPr>
                      <w:rFonts w:hint="default" w:ascii="Times New Roman" w:hAnsi="Times New Roman" w:cs="Times New Roman"/>
                      <w:b w:val="0"/>
                      <w:bCs w:val="0"/>
                      <w:color w:val="auto"/>
                      <w:spacing w:val="5"/>
                      <w:sz w:val="21"/>
                      <w:szCs w:val="21"/>
                    </w:rPr>
                    <w:t>层，占地面积约</w:t>
                  </w:r>
                  <w:r>
                    <w:rPr>
                      <w:rFonts w:hint="default" w:ascii="Times New Roman" w:hAnsi="Times New Roman" w:eastAsia="宋体" w:cs="Times New Roman"/>
                      <w:b w:val="0"/>
                      <w:bCs w:val="0"/>
                      <w:color w:val="auto"/>
                      <w:spacing w:val="5"/>
                      <w:sz w:val="21"/>
                      <w:szCs w:val="21"/>
                      <w:lang w:val="en-US" w:eastAsia="zh-CN"/>
                    </w:rPr>
                    <w:t>200</w:t>
                  </w:r>
                  <w:r>
                    <w:rPr>
                      <w:rFonts w:hint="default" w:ascii="Times New Roman" w:hAnsi="Times New Roman" w:eastAsia="宋体" w:cs="Times New Roman"/>
                      <w:b w:val="0"/>
                      <w:bCs w:val="0"/>
                      <w:color w:val="auto"/>
                      <w:spacing w:val="5"/>
                      <w:sz w:val="21"/>
                      <w:szCs w:val="21"/>
                      <w:lang w:eastAsia="zh-CN"/>
                    </w:rPr>
                    <w:t>㎡</w:t>
                  </w:r>
                  <w:r>
                    <w:rPr>
                      <w:rFonts w:hint="default" w:ascii="Times New Roman" w:hAnsi="Times New Roman" w:cs="Times New Roman"/>
                      <w:b w:val="0"/>
                      <w:bCs w:val="0"/>
                      <w:color w:val="auto"/>
                      <w:spacing w:val="5"/>
                      <w:sz w:val="21"/>
                      <w:szCs w:val="21"/>
                    </w:rPr>
                    <w:t>，砖</w:t>
                  </w:r>
                  <w:r>
                    <w:rPr>
                      <w:rFonts w:hint="default" w:ascii="Times New Roman" w:hAnsi="Times New Roman" w:cs="Times New Roman"/>
                      <w:b w:val="0"/>
                      <w:bCs w:val="0"/>
                      <w:color w:val="auto"/>
                      <w:spacing w:val="8"/>
                      <w:sz w:val="21"/>
                      <w:szCs w:val="21"/>
                    </w:rPr>
                    <w:t>混结构。综合楼主要为办公室、宿舍和食堂。</w:t>
                  </w:r>
                </w:p>
              </w:tc>
              <w:tc>
                <w:tcPr>
                  <w:tcW w:w="572" w:type="pct"/>
                  <w:vMerge w:val="restart"/>
                  <w:noWrap w:val="0"/>
                  <w:vAlign w:val="center"/>
                </w:tcPr>
                <w:p>
                  <w:pPr>
                    <w:pStyle w:val="114"/>
                    <w:keepNext w:val="0"/>
                    <w:keepLines w:val="0"/>
                    <w:pageBreakBefore w:val="0"/>
                    <w:wordWrap/>
                    <w:overflowPunct/>
                    <w:topLinePunct w:val="0"/>
                    <w:bidi w:val="0"/>
                    <w:spacing w:line="240" w:lineRule="auto"/>
                    <w:ind w:left="0" w:leftChars="0" w:right="0" w:righ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pacing w:val="8"/>
                      <w:sz w:val="21"/>
                      <w:szCs w:val="21"/>
                      <w:lang w:val="en-US" w:eastAsia="zh-CN"/>
                    </w:rPr>
                    <w:t>利用已租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8" w:type="pct"/>
                  <w:gridSpan w:val="2"/>
                  <w:vMerge w:val="restart"/>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其中</w:t>
                  </w:r>
                </w:p>
              </w:tc>
              <w:tc>
                <w:tcPr>
                  <w:tcW w:w="543" w:type="pct"/>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办公室</w:t>
                  </w:r>
                </w:p>
              </w:tc>
              <w:tc>
                <w:tcPr>
                  <w:tcW w:w="3062" w:type="pct"/>
                  <w:gridSpan w:val="2"/>
                  <w:noWrap w:val="0"/>
                  <w:vAlign w:val="center"/>
                </w:tcPr>
                <w:p>
                  <w:pPr>
                    <w:pStyle w:val="4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jc w:val="left"/>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位于综合楼第一层，左手边的第一个房间内</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占地面积约80</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，用于日常办公，砖混结构。</w:t>
                  </w:r>
                </w:p>
              </w:tc>
              <w:tc>
                <w:tcPr>
                  <w:tcW w:w="572"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8" w:type="pct"/>
                  <w:gridSpan w:val="2"/>
                  <w:vMerge w:val="continue"/>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3" w:type="pct"/>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宿舍</w:t>
                  </w:r>
                </w:p>
              </w:tc>
              <w:tc>
                <w:tcPr>
                  <w:tcW w:w="3062" w:type="pct"/>
                  <w:gridSpan w:val="2"/>
                  <w:noWrap w:val="0"/>
                  <w:vAlign w:val="center"/>
                </w:tcPr>
                <w:p>
                  <w:pPr>
                    <w:pStyle w:val="4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jc w:val="left"/>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位于综合楼二层，占地面积约187</w:t>
                  </w:r>
                  <w:r>
                    <w:rPr>
                      <w:rFonts w:hint="default" w:ascii="Times New Roman" w:hAnsi="Times New Roman" w:eastAsia="宋体" w:cs="Times New Roman"/>
                      <w:b w:val="0"/>
                      <w:bCs w:val="0"/>
                      <w:color w:val="auto"/>
                      <w:spacing w:val="7"/>
                      <w:sz w:val="21"/>
                      <w:szCs w:val="21"/>
                      <w:lang w:eastAsia="zh-CN"/>
                    </w:rPr>
                    <w:t>㎡</w:t>
                  </w:r>
                  <w:r>
                    <w:rPr>
                      <w:rFonts w:hint="default" w:ascii="Times New Roman" w:hAnsi="Times New Roman" w:cs="Times New Roman"/>
                      <w:b w:val="0"/>
                      <w:bCs w:val="0"/>
                      <w:color w:val="auto"/>
                      <w:sz w:val="21"/>
                      <w:szCs w:val="21"/>
                    </w:rPr>
                    <w:t>，为员工提供住宿，砖混结构。</w:t>
                  </w:r>
                </w:p>
              </w:tc>
              <w:tc>
                <w:tcPr>
                  <w:tcW w:w="572"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8" w:type="pct"/>
                  <w:gridSpan w:val="2"/>
                  <w:vMerge w:val="continue"/>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3" w:type="pct"/>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食堂</w:t>
                  </w:r>
                </w:p>
              </w:tc>
              <w:tc>
                <w:tcPr>
                  <w:tcW w:w="3062" w:type="pct"/>
                  <w:gridSpan w:val="2"/>
                  <w:noWrap w:val="0"/>
                  <w:vAlign w:val="center"/>
                </w:tcPr>
                <w:p>
                  <w:pPr>
                    <w:pStyle w:val="4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jc w:val="left"/>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位于综合楼第一层，右手边的第一个房间内，为员工提供三餐。</w:t>
                  </w:r>
                </w:p>
              </w:tc>
              <w:tc>
                <w:tcPr>
                  <w:tcW w:w="572"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1091" w:type="pct"/>
                  <w:gridSpan w:val="3"/>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卫生间</w:t>
                  </w:r>
                </w:p>
              </w:tc>
              <w:tc>
                <w:tcPr>
                  <w:tcW w:w="3062" w:type="pct"/>
                  <w:gridSpan w:val="2"/>
                  <w:noWrap w:val="0"/>
                  <w:vAlign w:val="center"/>
                </w:tcPr>
                <w:p>
                  <w:pPr>
                    <w:pStyle w:val="4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jc w:val="left"/>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依托</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rPr>
                    <w:t>已建成的卫生间位于厂房西侧，占地面积约50</w:t>
                  </w:r>
                  <w:r>
                    <w:rPr>
                      <w:rFonts w:hint="default" w:ascii="Times New Roman" w:hAnsi="Times New Roman" w:eastAsia="宋体" w:cs="Times New Roman"/>
                      <w:b w:val="0"/>
                      <w:bCs w:val="0"/>
                      <w:color w:val="auto"/>
                      <w:spacing w:val="7"/>
                      <w:sz w:val="21"/>
                      <w:szCs w:val="21"/>
                      <w:lang w:eastAsia="zh-CN"/>
                    </w:rPr>
                    <w:t>㎡</w:t>
                  </w:r>
                  <w:r>
                    <w:rPr>
                      <w:rFonts w:hint="default" w:ascii="Times New Roman" w:hAnsi="Times New Roman" w:cs="Times New Roman"/>
                      <w:b w:val="0"/>
                      <w:bCs w:val="0"/>
                      <w:color w:val="auto"/>
                      <w:sz w:val="21"/>
                      <w:szCs w:val="21"/>
                    </w:rPr>
                    <w:t>。</w:t>
                  </w:r>
                </w:p>
              </w:tc>
              <w:tc>
                <w:tcPr>
                  <w:tcW w:w="572"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restart"/>
                  <w:noWrap w:val="0"/>
                  <w:vAlign w:val="center"/>
                </w:tcPr>
                <w:p>
                  <w:pPr>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储运工程</w:t>
                  </w:r>
                </w:p>
              </w:tc>
              <w:tc>
                <w:tcPr>
                  <w:tcW w:w="1091" w:type="pct"/>
                  <w:gridSpan w:val="3"/>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原料辅堆放区</w:t>
                  </w:r>
                </w:p>
              </w:tc>
              <w:tc>
                <w:tcPr>
                  <w:tcW w:w="3062" w:type="pct"/>
                  <w:gridSpan w:val="2"/>
                  <w:noWrap w:val="0"/>
                  <w:vAlign w:val="center"/>
                </w:tcPr>
                <w:p>
                  <w:pPr>
                    <w:pStyle w:val="4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jc w:val="left"/>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位于项目区西南部，占地面积约为100</w:t>
                  </w:r>
                  <w:r>
                    <w:rPr>
                      <w:rFonts w:hint="default" w:ascii="Times New Roman" w:hAnsi="Times New Roman" w:eastAsia="宋体" w:cs="Times New Roman"/>
                      <w:b w:val="0"/>
                      <w:bCs w:val="0"/>
                      <w:color w:val="auto"/>
                      <w:spacing w:val="7"/>
                      <w:sz w:val="21"/>
                      <w:szCs w:val="21"/>
                      <w:lang w:eastAsia="zh-CN"/>
                    </w:rPr>
                    <w:t>㎡</w:t>
                  </w:r>
                  <w:r>
                    <w:rPr>
                      <w:rFonts w:hint="default" w:ascii="Times New Roman" w:hAnsi="Times New Roman" w:cs="Times New Roman"/>
                      <w:b w:val="0"/>
                      <w:bCs w:val="0"/>
                      <w:color w:val="auto"/>
                      <w:sz w:val="21"/>
                      <w:szCs w:val="21"/>
                    </w:rPr>
                    <w:t>，主要堆放生产工艺所需要的原辅料。</w:t>
                  </w:r>
                </w:p>
              </w:tc>
              <w:tc>
                <w:tcPr>
                  <w:tcW w:w="572" w:type="pct"/>
                  <w:vMerge w:val="restart"/>
                  <w:noWrap w:val="0"/>
                  <w:vAlign w:val="center"/>
                </w:tcPr>
                <w:p>
                  <w:pPr>
                    <w:pStyle w:val="11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利用现有年加工25万㎡</w:t>
                  </w:r>
                </w:p>
                <w:p>
                  <w:pPr>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门窗玻璃建设项目进行改扩建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1091" w:type="pct"/>
                  <w:gridSpan w:val="3"/>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成品堆放区</w:t>
                  </w:r>
                </w:p>
              </w:tc>
              <w:tc>
                <w:tcPr>
                  <w:tcW w:w="3062" w:type="pct"/>
                  <w:gridSpan w:val="2"/>
                  <w:noWrap w:val="0"/>
                  <w:vAlign w:val="center"/>
                </w:tcPr>
                <w:p>
                  <w:pPr>
                    <w:pStyle w:val="4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jc w:val="left"/>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位于厂房北部，占地面积约为100</w:t>
                  </w:r>
                  <w:r>
                    <w:rPr>
                      <w:rFonts w:hint="default" w:ascii="Times New Roman" w:hAnsi="Times New Roman" w:eastAsia="宋体" w:cs="Times New Roman"/>
                      <w:b w:val="0"/>
                      <w:bCs w:val="0"/>
                      <w:color w:val="auto"/>
                      <w:spacing w:val="7"/>
                      <w:sz w:val="21"/>
                      <w:szCs w:val="21"/>
                      <w:lang w:eastAsia="zh-CN"/>
                    </w:rPr>
                    <w:t>㎡</w:t>
                  </w:r>
                  <w:r>
                    <w:rPr>
                      <w:rFonts w:hint="default" w:ascii="Times New Roman" w:hAnsi="Times New Roman" w:cs="Times New Roman"/>
                      <w:b w:val="0"/>
                      <w:bCs w:val="0"/>
                      <w:color w:val="auto"/>
                      <w:sz w:val="21"/>
                      <w:szCs w:val="21"/>
                    </w:rPr>
                    <w:t>，主要为成品堆放区。</w:t>
                  </w:r>
                </w:p>
              </w:tc>
              <w:tc>
                <w:tcPr>
                  <w:tcW w:w="572"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1091" w:type="pct"/>
                  <w:gridSpan w:val="3"/>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废料区</w:t>
                  </w:r>
                </w:p>
              </w:tc>
              <w:tc>
                <w:tcPr>
                  <w:tcW w:w="3062" w:type="pct"/>
                  <w:gridSpan w:val="2"/>
                  <w:noWrap w:val="0"/>
                  <w:vAlign w:val="center"/>
                </w:tcPr>
                <w:p>
                  <w:pPr>
                    <w:pStyle w:val="4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jc w:val="left"/>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位于厂房北部，建筑面积约为50</w:t>
                  </w:r>
                  <w:r>
                    <w:rPr>
                      <w:rFonts w:hint="default" w:ascii="Times New Roman" w:hAnsi="Times New Roman" w:eastAsia="宋体" w:cs="Times New Roman"/>
                      <w:b w:val="0"/>
                      <w:bCs w:val="0"/>
                      <w:color w:val="auto"/>
                      <w:spacing w:val="7"/>
                      <w:sz w:val="21"/>
                      <w:szCs w:val="21"/>
                      <w:lang w:eastAsia="zh-CN"/>
                    </w:rPr>
                    <w:t>㎡</w:t>
                  </w:r>
                  <w:r>
                    <w:rPr>
                      <w:rFonts w:hint="default" w:ascii="Times New Roman" w:hAnsi="Times New Roman" w:cs="Times New Roman"/>
                      <w:b w:val="0"/>
                      <w:bCs w:val="0"/>
                      <w:color w:val="auto"/>
                      <w:sz w:val="21"/>
                      <w:szCs w:val="21"/>
                    </w:rPr>
                    <w:t>，用于存放生产过程中产生的不合格产品。</w:t>
                  </w:r>
                </w:p>
              </w:tc>
              <w:tc>
                <w:tcPr>
                  <w:tcW w:w="572"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restart"/>
                  <w:noWrap w:val="0"/>
                  <w:vAlign w:val="center"/>
                </w:tcPr>
                <w:p>
                  <w:pPr>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公用工程</w:t>
                  </w:r>
                </w:p>
              </w:tc>
              <w:tc>
                <w:tcPr>
                  <w:tcW w:w="1091" w:type="pct"/>
                  <w:gridSpan w:val="3"/>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供水系统</w:t>
                  </w:r>
                </w:p>
              </w:tc>
              <w:tc>
                <w:tcPr>
                  <w:tcW w:w="3062" w:type="pct"/>
                  <w:gridSpan w:val="2"/>
                  <w:noWrap w:val="0"/>
                  <w:vAlign w:val="center"/>
                </w:tcPr>
                <w:p>
                  <w:pPr>
                    <w:pStyle w:val="4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由提古社区自来水管网供给。</w:t>
                  </w:r>
                </w:p>
              </w:tc>
              <w:tc>
                <w:tcPr>
                  <w:tcW w:w="572" w:type="pct"/>
                  <w:noWrap w:val="0"/>
                  <w:vAlign w:val="center"/>
                </w:tcPr>
                <w:p>
                  <w:pPr>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rPr>
                    <w:t>依托</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lang w:val="en-US" w:eastAsia="zh-CN"/>
                    </w:rPr>
                    <w:t>已建</w:t>
                  </w:r>
                  <w:r>
                    <w:rPr>
                      <w:rFonts w:hint="default" w:ascii="Times New Roman" w:hAnsi="Times New Roman" w:cs="Times New Roman"/>
                      <w:b w:val="0"/>
                      <w:bCs w:val="0"/>
                      <w:color w:val="auto"/>
                      <w:sz w:val="21"/>
                      <w:szCs w:val="21"/>
                    </w:rPr>
                    <w:t>供水系统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1091" w:type="pct"/>
                  <w:gridSpan w:val="3"/>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供电系统</w:t>
                  </w:r>
                </w:p>
              </w:tc>
              <w:tc>
                <w:tcPr>
                  <w:tcW w:w="3062" w:type="pct"/>
                  <w:gridSpan w:val="2"/>
                  <w:noWrap w:val="0"/>
                  <w:vAlign w:val="center"/>
                </w:tcPr>
                <w:p>
                  <w:pPr>
                    <w:pStyle w:val="4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由提古社区供电管网接入。</w:t>
                  </w:r>
                </w:p>
              </w:tc>
              <w:tc>
                <w:tcPr>
                  <w:tcW w:w="572" w:type="pct"/>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依托</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lang w:val="en-US" w:eastAsia="zh-CN"/>
                    </w:rPr>
                    <w:t>已建</w:t>
                  </w:r>
                  <w:r>
                    <w:rPr>
                      <w:rFonts w:hint="default" w:ascii="Times New Roman" w:hAnsi="Times New Roman" w:cs="Times New Roman"/>
                      <w:b w:val="0"/>
                      <w:bCs w:val="0"/>
                      <w:color w:val="auto"/>
                      <w:sz w:val="21"/>
                      <w:szCs w:val="21"/>
                    </w:rPr>
                    <w:t>供电系统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8" w:type="pct"/>
                  <w:gridSpan w:val="2"/>
                  <w:vMerge w:val="restart"/>
                  <w:noWrap w:val="0"/>
                  <w:vAlign w:val="center"/>
                </w:tcPr>
                <w:p>
                  <w:pPr>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排水系统</w:t>
                  </w:r>
                </w:p>
              </w:tc>
              <w:tc>
                <w:tcPr>
                  <w:tcW w:w="543" w:type="pct"/>
                  <w:noWrap w:val="0"/>
                  <w:vAlign w:val="center"/>
                </w:tcPr>
                <w:p>
                  <w:pPr>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近期排水体制</w:t>
                  </w:r>
                </w:p>
              </w:tc>
              <w:tc>
                <w:tcPr>
                  <w:tcW w:w="3062" w:type="pct"/>
                  <w:gridSpan w:val="2"/>
                  <w:noWrap w:val="0"/>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项目严格实施雨污分流体制。</w:t>
                  </w:r>
                </w:p>
                <w:p>
                  <w:pPr>
                    <w:pStyle w:val="45"/>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雨水：雨水排入依托</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rPr>
                    <w:t>已建设的雨水沟排入提古工业园区雨水管网。</w:t>
                  </w:r>
                </w:p>
                <w:p>
                  <w:pPr>
                    <w:pStyle w:val="45"/>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污水：食堂废水经</w:t>
                  </w:r>
                  <w:r>
                    <w:rPr>
                      <w:rFonts w:hint="eastAsia" w:ascii="Times New Roman" w:hAnsi="Times New Roman" w:cs="Times New Roman"/>
                      <w:b w:val="0"/>
                      <w:bCs w:val="0"/>
                      <w:color w:val="auto"/>
                      <w:sz w:val="21"/>
                      <w:szCs w:val="21"/>
                      <w:lang w:eastAsia="zh-CN"/>
                    </w:rPr>
                    <w:t>油水分离器</w:t>
                  </w:r>
                  <w:r>
                    <w:rPr>
                      <w:rFonts w:hint="default" w:ascii="Times New Roman" w:hAnsi="Times New Roman" w:cs="Times New Roman"/>
                      <w:b w:val="0"/>
                      <w:bCs w:val="0"/>
                      <w:color w:val="auto"/>
                      <w:sz w:val="21"/>
                      <w:szCs w:val="21"/>
                    </w:rPr>
                    <w:t>处理后与其他生活污水一起排入依托</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lang w:val="en-US" w:eastAsia="zh-CN"/>
                    </w:rPr>
                    <w:t>3号</w:t>
                  </w:r>
                  <w:r>
                    <w:rPr>
                      <w:rFonts w:hint="default" w:ascii="Times New Roman" w:hAnsi="Times New Roman" w:cs="Times New Roman"/>
                      <w:b w:val="0"/>
                      <w:bCs w:val="0"/>
                      <w:color w:val="auto"/>
                      <w:sz w:val="21"/>
                      <w:szCs w:val="21"/>
                    </w:rPr>
                    <w:t>厂房的化粪池处理后，最终进入</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rPr>
                    <w:t>自建的一体化污水处理设施处理达标后晴天回用于</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rPr>
                    <w:t>的绿化及道路洒水降尘，不外排，雨天暂存于回用水池。</w:t>
                  </w:r>
                </w:p>
                <w:p>
                  <w:pPr>
                    <w:pStyle w:val="45"/>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项目的主要生产用水为中空玻璃的清洗用水（不添加任何清洗剂）清洗废水流入机器自带的沉淀槽经静置沉淀后，</w:t>
                  </w:r>
                  <w:r>
                    <w:rPr>
                      <w:rFonts w:hint="default" w:ascii="Times New Roman" w:hAnsi="Times New Roman" w:cs="Times New Roman"/>
                      <w:b w:val="0"/>
                      <w:bCs w:val="0"/>
                      <w:color w:val="auto"/>
                      <w:sz w:val="21"/>
                      <w:szCs w:val="21"/>
                      <w:lang w:eastAsia="zh-CN"/>
                    </w:rPr>
                    <w:t>清洗水循环回用定期更换清洗废水，不外排</w:t>
                  </w:r>
                  <w:r>
                    <w:rPr>
                      <w:rFonts w:hint="default" w:ascii="Times New Roman" w:hAnsi="Times New Roman" w:cs="Times New Roman"/>
                      <w:b w:val="0"/>
                      <w:bCs w:val="0"/>
                      <w:color w:val="auto"/>
                      <w:sz w:val="21"/>
                      <w:szCs w:val="21"/>
                    </w:rPr>
                    <w:t>。</w:t>
                  </w:r>
                </w:p>
              </w:tc>
              <w:tc>
                <w:tcPr>
                  <w:tcW w:w="572" w:type="pct"/>
                  <w:noWrap w:val="0"/>
                  <w:vAlign w:val="center"/>
                </w:tcPr>
                <w:p>
                  <w:pPr>
                    <w:pStyle w:val="45"/>
                    <w:keepNext w:val="0"/>
                    <w:keepLines w:val="0"/>
                    <w:pageBreakBefore w:val="0"/>
                    <w:wordWrap/>
                    <w:overflowPunct/>
                    <w:topLinePunct w:val="0"/>
                    <w:bidi w:val="0"/>
                    <w:spacing w:line="240" w:lineRule="auto"/>
                    <w:ind w:left="0" w:right="0" w:firstLine="0" w:firstLineChars="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依托</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rPr>
                    <w:t>已建设的雨水沟排入提古工业园区雨水管网。</w:t>
                  </w:r>
                </w:p>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8" w:type="pct"/>
                  <w:gridSpan w:val="2"/>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3" w:type="pct"/>
                  <w:noWrap w:val="0"/>
                  <w:vAlign w:val="center"/>
                </w:tcPr>
                <w:p>
                  <w:pPr>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远期</w:t>
                  </w:r>
                  <w:r>
                    <w:rPr>
                      <w:rFonts w:hint="default" w:ascii="Times New Roman" w:hAnsi="Times New Roman" w:cs="Times New Roman"/>
                      <w:b w:val="0"/>
                      <w:bCs w:val="0"/>
                      <w:color w:val="auto"/>
                      <w:sz w:val="21"/>
                      <w:szCs w:val="21"/>
                    </w:rPr>
                    <w:t>排水体制</w:t>
                  </w:r>
                </w:p>
              </w:tc>
              <w:tc>
                <w:tcPr>
                  <w:tcW w:w="3062" w:type="pct"/>
                  <w:gridSpan w:val="2"/>
                  <w:noWrap w:val="0"/>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项目严格实施雨污分流体制。</w:t>
                  </w:r>
                </w:p>
                <w:p>
                  <w:pPr>
                    <w:pStyle w:val="45"/>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雨水：雨水排入依托</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rPr>
                    <w:t>已建设的雨水沟排入提古工业园区雨水管网。</w:t>
                  </w:r>
                </w:p>
                <w:p>
                  <w:pPr>
                    <w:pStyle w:val="45"/>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污水：食堂含油废水经隔油处理后与经化粪池处理后的生活污水一起排入园区污水管网，最后进入园区污水处理厂。</w:t>
                  </w:r>
                </w:p>
                <w:p>
                  <w:pPr>
                    <w:pStyle w:val="45"/>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项目的主要生产用水为中空玻璃的清洗用水（不添加任何清洗剂）清洗废水流入机器自带的沉淀槽经静置沉淀后，</w:t>
                  </w:r>
                  <w:r>
                    <w:rPr>
                      <w:rFonts w:hint="default" w:ascii="Times New Roman" w:hAnsi="Times New Roman" w:cs="Times New Roman"/>
                      <w:b w:val="0"/>
                      <w:bCs w:val="0"/>
                      <w:color w:val="auto"/>
                      <w:sz w:val="21"/>
                      <w:szCs w:val="21"/>
                      <w:lang w:eastAsia="zh-CN"/>
                    </w:rPr>
                    <w:t>清洗水循环回用定期更换清洗废水，不外排</w:t>
                  </w:r>
                  <w:r>
                    <w:rPr>
                      <w:rFonts w:hint="default" w:ascii="Times New Roman" w:hAnsi="Times New Roman" w:cs="Times New Roman"/>
                      <w:b w:val="0"/>
                      <w:bCs w:val="0"/>
                      <w:color w:val="auto"/>
                      <w:sz w:val="21"/>
                      <w:szCs w:val="21"/>
                    </w:rPr>
                    <w:t>。</w:t>
                  </w:r>
                </w:p>
              </w:tc>
              <w:tc>
                <w:tcPr>
                  <w:tcW w:w="572" w:type="pct"/>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restart"/>
                  <w:noWrap w:val="0"/>
                  <w:vAlign w:val="center"/>
                </w:tcPr>
                <w:p>
                  <w:pPr>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环保工程</w:t>
                  </w:r>
                </w:p>
              </w:tc>
              <w:tc>
                <w:tcPr>
                  <w:tcW w:w="548" w:type="pct"/>
                  <w:gridSpan w:val="2"/>
                  <w:vMerge w:val="restart"/>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废气</w:t>
                  </w:r>
                </w:p>
              </w:tc>
              <w:tc>
                <w:tcPr>
                  <w:tcW w:w="543" w:type="pct"/>
                  <w:noWrap w:val="0"/>
                  <w:vAlign w:val="center"/>
                </w:tcPr>
                <w:p>
                  <w:pPr>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厨房油烟</w:t>
                  </w:r>
                </w:p>
              </w:tc>
              <w:tc>
                <w:tcPr>
                  <w:tcW w:w="3062" w:type="pct"/>
                  <w:gridSpan w:val="2"/>
                  <w:noWrap w:val="0"/>
                  <w:vAlign w:val="center"/>
                </w:tcPr>
                <w:p>
                  <w:pPr>
                    <w:pStyle w:val="45"/>
                    <w:keepNext w:val="0"/>
                    <w:keepLines w:val="0"/>
                    <w:pageBreakBefore w:val="0"/>
                    <w:wordWrap/>
                    <w:overflowPunct/>
                    <w:topLinePunct w:val="0"/>
                    <w:bidi w:val="0"/>
                    <w:spacing w:line="240" w:lineRule="auto"/>
                    <w:ind w:left="0" w:right="0" w:firstLine="420" w:firstLineChars="200"/>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在食堂内设置1个油烟净化器和1根油烟排气筒，食堂烹饪产生的油烟经油烟净化器处理后，通过油烟排气筒引至屋顶排放。</w:t>
                  </w:r>
                </w:p>
              </w:tc>
              <w:tc>
                <w:tcPr>
                  <w:tcW w:w="572" w:type="pct"/>
                  <w:noWrap w:val="0"/>
                  <w:vAlign w:val="center"/>
                </w:tcPr>
                <w:p>
                  <w:pPr>
                    <w:pStyle w:val="11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依托原有年加工25万㎡</w:t>
                  </w:r>
                </w:p>
                <w:p>
                  <w:pPr>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门窗玻璃建设项目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8" w:type="pct"/>
                  <w:gridSpan w:val="2"/>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3" w:type="pct"/>
                  <w:noWrap w:val="0"/>
                  <w:vAlign w:val="center"/>
                </w:tcPr>
                <w:p>
                  <w:pPr>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有机废气（以非甲烷总烃计）、甲苯、二甲苯</w:t>
                  </w:r>
                </w:p>
              </w:tc>
              <w:tc>
                <w:tcPr>
                  <w:tcW w:w="3062" w:type="pct"/>
                  <w:gridSpan w:val="2"/>
                  <w:noWrap w:val="0"/>
                  <w:vAlign w:val="center"/>
                </w:tcPr>
                <w:p>
                  <w:pPr>
                    <w:pStyle w:val="45"/>
                    <w:keepNext w:val="0"/>
                    <w:keepLines w:val="0"/>
                    <w:pageBreakBefore w:val="0"/>
                    <w:wordWrap/>
                    <w:overflowPunct/>
                    <w:topLinePunct w:val="0"/>
                    <w:bidi w:val="0"/>
                    <w:spacing w:line="240" w:lineRule="auto"/>
                    <w:ind w:left="0" w:right="0" w:firstLine="420" w:firstLineChars="200"/>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项目在中空玻璃密封过程中会产生甲苯、二甲苯、有机废气（以非甲烷总烃计），在</w:t>
                  </w:r>
                  <w:r>
                    <w:rPr>
                      <w:rFonts w:hint="default" w:ascii="Times New Roman" w:hAnsi="Times New Roman" w:cs="Times New Roman"/>
                      <w:b w:val="0"/>
                      <w:bCs w:val="0"/>
                      <w:color w:val="auto"/>
                      <w:sz w:val="21"/>
                      <w:szCs w:val="21"/>
                      <w:lang w:val="en-US" w:eastAsia="zh-CN"/>
                    </w:rPr>
                    <w:t>七条</w:t>
                  </w:r>
                  <w:r>
                    <w:rPr>
                      <w:rFonts w:hint="default" w:ascii="Times New Roman" w:hAnsi="Times New Roman" w:cs="Times New Roman"/>
                      <w:b w:val="0"/>
                      <w:bCs w:val="0"/>
                      <w:color w:val="auto"/>
                      <w:sz w:val="21"/>
                      <w:szCs w:val="21"/>
                    </w:rPr>
                    <w:t>中空玻璃生产线密封胶工段设置</w:t>
                  </w:r>
                  <w:r>
                    <w:rPr>
                      <w:rFonts w:hint="default" w:ascii="Times New Roman" w:hAnsi="Times New Roman" w:cs="Times New Roman"/>
                      <w:b w:val="0"/>
                      <w:bCs w:val="0"/>
                      <w:color w:val="auto"/>
                      <w:sz w:val="21"/>
                      <w:szCs w:val="21"/>
                      <w:lang w:val="en-US" w:eastAsia="zh-CN"/>
                    </w:rPr>
                    <w:t>14</w:t>
                  </w:r>
                  <w:r>
                    <w:rPr>
                      <w:rFonts w:hint="default" w:ascii="Times New Roman" w:hAnsi="Times New Roman" w:cs="Times New Roman"/>
                      <w:b w:val="0"/>
                      <w:bCs w:val="0"/>
                      <w:color w:val="auto"/>
                      <w:sz w:val="21"/>
                      <w:szCs w:val="21"/>
                    </w:rPr>
                    <w:t>个集气罩收集后经过管道进入</w:t>
                  </w:r>
                  <w:r>
                    <w:rPr>
                      <w:rFonts w:hint="default" w:ascii="Times New Roman" w:hAnsi="Times New Roman" w:cs="Times New Roman"/>
                      <w:b w:val="0"/>
                      <w:bCs w:val="0"/>
                      <w:color w:val="auto"/>
                      <w:sz w:val="21"/>
                      <w:szCs w:val="21"/>
                      <w:lang w:eastAsia="zh-CN"/>
                    </w:rPr>
                    <w:t>二级活性炭吸附设备</w:t>
                  </w:r>
                  <w:r>
                    <w:rPr>
                      <w:rFonts w:hint="default" w:ascii="Times New Roman" w:hAnsi="Times New Roman" w:cs="Times New Roman"/>
                      <w:b w:val="0"/>
                      <w:bCs w:val="0"/>
                      <w:color w:val="auto"/>
                      <w:sz w:val="21"/>
                      <w:szCs w:val="21"/>
                    </w:rPr>
                    <w:t>处理后通过15m高的排气筒外排。</w:t>
                  </w:r>
                </w:p>
              </w:tc>
              <w:tc>
                <w:tcPr>
                  <w:tcW w:w="572" w:type="pct"/>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8" w:type="pct"/>
                  <w:gridSpan w:val="2"/>
                  <w:vMerge w:val="restart"/>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固废</w:t>
                  </w:r>
                </w:p>
              </w:tc>
              <w:tc>
                <w:tcPr>
                  <w:tcW w:w="543" w:type="pct"/>
                  <w:noWrap w:val="0"/>
                  <w:vAlign w:val="center"/>
                </w:tcPr>
                <w:p>
                  <w:pPr>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一般固废暂存区</w:t>
                  </w:r>
                </w:p>
              </w:tc>
              <w:tc>
                <w:tcPr>
                  <w:tcW w:w="3062" w:type="pct"/>
                  <w:gridSpan w:val="2"/>
                  <w:noWrap w:val="0"/>
                  <w:vAlign w:val="center"/>
                </w:tcPr>
                <w:p>
                  <w:pPr>
                    <w:pStyle w:val="45"/>
                    <w:keepNext w:val="0"/>
                    <w:keepLines w:val="0"/>
                    <w:pageBreakBefore w:val="0"/>
                    <w:wordWrap/>
                    <w:overflowPunct/>
                    <w:topLinePunct w:val="0"/>
                    <w:bidi w:val="0"/>
                    <w:spacing w:line="240" w:lineRule="auto"/>
                    <w:ind w:left="0" w:right="0" w:firstLine="420" w:firstLineChars="200"/>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位于厂房西南角，建筑面积5</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，用于收集废包装纸等。</w:t>
                  </w:r>
                </w:p>
              </w:tc>
              <w:tc>
                <w:tcPr>
                  <w:tcW w:w="572" w:type="pct"/>
                  <w:vMerge w:val="restart"/>
                  <w:noWrap w:val="0"/>
                  <w:vAlign w:val="center"/>
                </w:tcPr>
                <w:p>
                  <w:pPr>
                    <w:pStyle w:val="11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依托原有年加工25万㎡</w:t>
                  </w:r>
                </w:p>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门窗玻璃建设项目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8" w:type="pct"/>
                  <w:gridSpan w:val="2"/>
                  <w:vMerge w:val="continue"/>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3" w:type="pct"/>
                  <w:noWrap w:val="0"/>
                  <w:vAlign w:val="center"/>
                </w:tcPr>
                <w:p>
                  <w:pPr>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危废暂存间</w:t>
                  </w:r>
                </w:p>
              </w:tc>
              <w:tc>
                <w:tcPr>
                  <w:tcW w:w="3062" w:type="pct"/>
                  <w:gridSpan w:val="2"/>
                  <w:noWrap w:val="0"/>
                  <w:vAlign w:val="center"/>
                </w:tcPr>
                <w:p>
                  <w:pPr>
                    <w:pStyle w:val="45"/>
                    <w:keepNext w:val="0"/>
                    <w:keepLines w:val="0"/>
                    <w:pageBreakBefore w:val="0"/>
                    <w:wordWrap/>
                    <w:overflowPunct/>
                    <w:topLinePunct w:val="0"/>
                    <w:bidi w:val="0"/>
                    <w:spacing w:line="240" w:lineRule="auto"/>
                    <w:ind w:left="0" w:right="0" w:firstLine="420" w:firstLineChars="200"/>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位于厂内西南角，建筑面积5</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，用于存维修设备时所产生的废润滑油，设计满足“防风、防雨、防晒、防渗漏”要求，重点进行防渗（防渗层为至少1m厚黏土层（渗透系数≤10</w:t>
                  </w:r>
                  <w:r>
                    <w:rPr>
                      <w:rFonts w:hint="default" w:ascii="Times New Roman" w:hAnsi="Times New Roman" w:cs="Times New Roman"/>
                      <w:b w:val="0"/>
                      <w:bCs w:val="0"/>
                      <w:color w:val="auto"/>
                      <w:sz w:val="21"/>
                      <w:szCs w:val="21"/>
                      <w:vertAlign w:val="superscript"/>
                    </w:rPr>
                    <w:t>-7</w:t>
                  </w:r>
                  <w:r>
                    <w:rPr>
                      <w:rFonts w:hint="default" w:ascii="Times New Roman" w:hAnsi="Times New Roman" w:cs="Times New Roman"/>
                      <w:b w:val="0"/>
                      <w:bCs w:val="0"/>
                      <w:color w:val="auto"/>
                      <w:sz w:val="21"/>
                      <w:szCs w:val="21"/>
                    </w:rPr>
                    <w:t>cm/s），或2</w:t>
                  </w:r>
                  <w:r>
                    <w:rPr>
                      <w:rFonts w:hint="default" w:ascii="Times New Roman" w:hAnsi="Times New Roman" w:cs="Times New Roman"/>
                      <w:b w:val="0"/>
                      <w:bCs w:val="0"/>
                      <w:color w:val="auto"/>
                      <w:sz w:val="21"/>
                      <w:szCs w:val="21"/>
                      <w:lang w:val="en-US" w:eastAsia="zh-CN"/>
                    </w:rPr>
                    <w:t>m</w:t>
                  </w:r>
                  <w:r>
                    <w:rPr>
                      <w:rFonts w:hint="default" w:ascii="Times New Roman" w:hAnsi="Times New Roman" w:cs="Times New Roman"/>
                      <w:b w:val="0"/>
                      <w:bCs w:val="0"/>
                      <w:color w:val="auto"/>
                      <w:sz w:val="21"/>
                      <w:szCs w:val="21"/>
                    </w:rPr>
                    <w:t>m厚高密度聚乙烯，或至少2mm厚的其他人工材料，渗透系数≤10</w:t>
                  </w:r>
                  <w:r>
                    <w:rPr>
                      <w:rFonts w:hint="default" w:ascii="Times New Roman" w:hAnsi="Times New Roman" w:cs="Times New Roman"/>
                      <w:b w:val="0"/>
                      <w:bCs w:val="0"/>
                      <w:color w:val="auto"/>
                      <w:sz w:val="21"/>
                      <w:szCs w:val="21"/>
                      <w:vertAlign w:val="superscript"/>
                    </w:rPr>
                    <w:t>-10</w:t>
                  </w:r>
                  <w:r>
                    <w:rPr>
                      <w:rFonts w:hint="default" w:ascii="Times New Roman" w:hAnsi="Times New Roman" w:cs="Times New Roman"/>
                      <w:b w:val="0"/>
                      <w:bCs w:val="0"/>
                      <w:color w:val="auto"/>
                      <w:sz w:val="21"/>
                      <w:szCs w:val="21"/>
                    </w:rPr>
                    <w:t>cm/s。），存放危废为液体的危废间需要在危废间内设置不同区域做围堰，围堰高度不低于0.5m，围堰总容积不低于1m³</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如发生泄漏，废润滑油泄漏出来的液体受到围堰的阻隔在围堰内暂存。并委托</w:t>
                  </w:r>
                  <w:r>
                    <w:rPr>
                      <w:rFonts w:hint="default" w:ascii="Times New Roman" w:hAnsi="Times New Roman" w:cs="Times New Roman"/>
                      <w:b w:val="0"/>
                      <w:bCs w:val="0"/>
                      <w:color w:val="auto"/>
                      <w:sz w:val="21"/>
                      <w:szCs w:val="21"/>
                      <w:lang w:eastAsia="zh-CN"/>
                    </w:rPr>
                    <w:t>有资质单位清运处置</w:t>
                  </w:r>
                  <w:r>
                    <w:rPr>
                      <w:rFonts w:hint="default" w:ascii="Times New Roman" w:hAnsi="Times New Roman" w:cs="Times New Roman"/>
                      <w:b w:val="0"/>
                      <w:bCs w:val="0"/>
                      <w:color w:val="auto"/>
                      <w:sz w:val="21"/>
                      <w:szCs w:val="21"/>
                    </w:rPr>
                    <w:t>。</w:t>
                  </w:r>
                </w:p>
              </w:tc>
              <w:tc>
                <w:tcPr>
                  <w:tcW w:w="572"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8" w:type="pct"/>
                  <w:gridSpan w:val="2"/>
                  <w:vMerge w:val="continue"/>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3" w:type="pct"/>
                  <w:noWrap w:val="0"/>
                  <w:vAlign w:val="center"/>
                </w:tcPr>
                <w:p>
                  <w:pPr>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生活垃圾</w:t>
                  </w:r>
                </w:p>
              </w:tc>
              <w:tc>
                <w:tcPr>
                  <w:tcW w:w="3062" w:type="pct"/>
                  <w:gridSpan w:val="2"/>
                  <w:noWrap w:val="0"/>
                  <w:vAlign w:val="center"/>
                </w:tcPr>
                <w:p>
                  <w:pPr>
                    <w:pStyle w:val="45"/>
                    <w:keepNext w:val="0"/>
                    <w:keepLines w:val="0"/>
                    <w:pageBreakBefore w:val="0"/>
                    <w:wordWrap/>
                    <w:overflowPunct/>
                    <w:topLinePunct w:val="0"/>
                    <w:bidi w:val="0"/>
                    <w:spacing w:line="240" w:lineRule="auto"/>
                    <w:ind w:left="0" w:right="0" w:firstLine="420" w:firstLineChars="200"/>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厂区内设置7个垃圾收集桶，用于收集员工生活垃圾。</w:t>
                  </w:r>
                </w:p>
              </w:tc>
              <w:tc>
                <w:tcPr>
                  <w:tcW w:w="572"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8" w:type="pct"/>
                  <w:gridSpan w:val="2"/>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噪声</w:t>
                  </w:r>
                </w:p>
              </w:tc>
              <w:tc>
                <w:tcPr>
                  <w:tcW w:w="4178" w:type="pct"/>
                  <w:gridSpan w:val="4"/>
                  <w:noWrap w:val="0"/>
                  <w:vAlign w:val="center"/>
                </w:tcPr>
                <w:p>
                  <w:pPr>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选用低噪设备、厂房隔声、风机消声、安装减震垫。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275" w:type="pct"/>
                  <w:vMerge w:val="restart"/>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废水</w:t>
                  </w:r>
                </w:p>
              </w:tc>
              <w:tc>
                <w:tcPr>
                  <w:tcW w:w="273" w:type="pct"/>
                  <w:vMerge w:val="restart"/>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生活污水</w:t>
                  </w:r>
                </w:p>
              </w:tc>
              <w:tc>
                <w:tcPr>
                  <w:tcW w:w="543" w:type="pct"/>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生活污水</w:t>
                  </w:r>
                </w:p>
              </w:tc>
              <w:tc>
                <w:tcPr>
                  <w:tcW w:w="3062" w:type="pct"/>
                  <w:gridSpan w:val="2"/>
                  <w:noWrap w:val="0"/>
                  <w:vAlign w:val="center"/>
                </w:tcPr>
                <w:p>
                  <w:pPr>
                    <w:pStyle w:val="45"/>
                    <w:keepNext w:val="0"/>
                    <w:keepLines w:val="0"/>
                    <w:pageBreakBefore w:val="0"/>
                    <w:wordWrap/>
                    <w:overflowPunct/>
                    <w:topLinePunct w:val="0"/>
                    <w:bidi w:val="0"/>
                    <w:spacing w:line="240" w:lineRule="auto"/>
                    <w:ind w:left="0" w:right="0" w:firstLine="420" w:firstLineChars="200"/>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本项目厂区提供食宿，食堂废水经</w:t>
                  </w:r>
                  <w:r>
                    <w:rPr>
                      <w:rFonts w:hint="eastAsia" w:ascii="Times New Roman" w:hAnsi="Times New Roman" w:cs="Times New Roman"/>
                      <w:b w:val="0"/>
                      <w:bCs w:val="0"/>
                      <w:color w:val="auto"/>
                      <w:sz w:val="21"/>
                      <w:szCs w:val="21"/>
                      <w:lang w:eastAsia="zh-CN"/>
                    </w:rPr>
                    <w:t>油水分离器</w:t>
                  </w:r>
                  <w:r>
                    <w:rPr>
                      <w:rFonts w:hint="default" w:ascii="Times New Roman" w:hAnsi="Times New Roman" w:cs="Times New Roman"/>
                      <w:b w:val="0"/>
                      <w:bCs w:val="0"/>
                      <w:color w:val="auto"/>
                      <w:sz w:val="21"/>
                      <w:szCs w:val="21"/>
                    </w:rPr>
                    <w:t>处理后与其他生活污水一起排入依托</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rPr>
                    <w:t>3号厂房的化粪池处理后，最终进入</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rPr>
                    <w:t>自建的一体化污水处理设施处理达标后晴天回用于</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rPr>
                    <w:t>的绿化及道路洒水降尘，不外排</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雨天暂存于回用水池。</w:t>
                  </w:r>
                </w:p>
              </w:tc>
              <w:tc>
                <w:tcPr>
                  <w:tcW w:w="572" w:type="pct"/>
                  <w:noWrap w:val="0"/>
                  <w:vAlign w:val="center"/>
                </w:tcPr>
                <w:p>
                  <w:pPr>
                    <w:keepNext w:val="0"/>
                    <w:keepLines w:val="0"/>
                    <w:pageBreakBefore w:val="0"/>
                    <w:wordWrap/>
                    <w:overflowPunct/>
                    <w:topLinePunct w:val="0"/>
                    <w:bidi w:val="0"/>
                    <w:spacing w:line="240" w:lineRule="auto"/>
                    <w:ind w:left="0" w:right="0" w:firstLine="0" w:firstLineChars="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275"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3" w:type="pct"/>
                  <w:vMerge w:val="restart"/>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生活</w:t>
                  </w:r>
                </w:p>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污水</w:t>
                  </w:r>
                </w:p>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rPr>
                    <w:t>处理</w:t>
                  </w:r>
                  <w:r>
                    <w:rPr>
                      <w:rFonts w:hint="default" w:ascii="Times New Roman" w:hAnsi="Times New Roman" w:cs="Times New Roman"/>
                      <w:b w:val="0"/>
                      <w:bCs w:val="0"/>
                      <w:color w:val="auto"/>
                      <w:sz w:val="21"/>
                      <w:szCs w:val="21"/>
                      <w:lang w:val="en-US" w:eastAsia="zh-CN"/>
                    </w:rPr>
                    <w:t>措施</w:t>
                  </w:r>
                </w:p>
              </w:tc>
              <w:tc>
                <w:tcPr>
                  <w:tcW w:w="273" w:type="pct"/>
                  <w:noWrap w:val="0"/>
                  <w:vAlign w:val="center"/>
                </w:tcPr>
                <w:p>
                  <w:pPr>
                    <w:keepNext w:val="0"/>
                    <w:keepLines w:val="0"/>
                    <w:pageBreakBefore w:val="0"/>
                    <w:wordWrap/>
                    <w:overflowPunct/>
                    <w:topLinePunct w:val="0"/>
                    <w:bidi w:val="0"/>
                    <w:spacing w:line="240" w:lineRule="auto"/>
                    <w:ind w:left="0" w:right="0" w:firstLine="0" w:firstLineChars="0"/>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油水分离器</w:t>
                  </w:r>
                </w:p>
              </w:tc>
              <w:tc>
                <w:tcPr>
                  <w:tcW w:w="2789" w:type="pct"/>
                  <w:noWrap w:val="0"/>
                  <w:vAlign w:val="center"/>
                </w:tcPr>
                <w:p>
                  <w:pPr>
                    <w:pStyle w:val="45"/>
                    <w:keepNext w:val="0"/>
                    <w:keepLines w:val="0"/>
                    <w:pageBreakBefore w:val="0"/>
                    <w:wordWrap/>
                    <w:overflowPunct/>
                    <w:topLinePunct w:val="0"/>
                    <w:bidi w:val="0"/>
                    <w:spacing w:line="240" w:lineRule="auto"/>
                    <w:ind w:left="0" w:right="0" w:firstLine="420" w:firstLineChars="200"/>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设置1个容积为0.5</w:t>
                  </w:r>
                  <w:r>
                    <w:rPr>
                      <w:rFonts w:hint="default" w:ascii="Times New Roman" w:hAnsi="Times New Roman" w:cs="Times New Roman"/>
                      <w:b w:val="0"/>
                      <w:bCs w:val="0"/>
                      <w:color w:val="auto"/>
                      <w:sz w:val="21"/>
                      <w:szCs w:val="21"/>
                      <w:lang w:eastAsia="zh-CN"/>
                    </w:rPr>
                    <w:t>m³</w:t>
                  </w:r>
                  <w:r>
                    <w:rPr>
                      <w:rFonts w:hint="default" w:ascii="Times New Roman" w:hAnsi="Times New Roman" w:cs="Times New Roman"/>
                      <w:b w:val="0"/>
                      <w:bCs w:val="0"/>
                      <w:color w:val="auto"/>
                      <w:sz w:val="21"/>
                      <w:szCs w:val="21"/>
                    </w:rPr>
                    <w:t>的</w:t>
                  </w:r>
                  <w:r>
                    <w:rPr>
                      <w:rFonts w:hint="eastAsia" w:ascii="Times New Roman" w:hAnsi="Times New Roman" w:cs="Times New Roman"/>
                      <w:b w:val="0"/>
                      <w:bCs w:val="0"/>
                      <w:color w:val="auto"/>
                      <w:sz w:val="21"/>
                      <w:szCs w:val="21"/>
                      <w:lang w:eastAsia="zh-CN"/>
                    </w:rPr>
                    <w:t>油水分离器</w:t>
                  </w:r>
                  <w:r>
                    <w:rPr>
                      <w:rFonts w:hint="default" w:ascii="Times New Roman" w:hAnsi="Times New Roman" w:cs="Times New Roman"/>
                      <w:b w:val="0"/>
                      <w:bCs w:val="0"/>
                      <w:color w:val="auto"/>
                      <w:sz w:val="21"/>
                      <w:szCs w:val="21"/>
                    </w:rPr>
                    <w:t>，用于对食堂废水进行预处理。</w:t>
                  </w:r>
                </w:p>
              </w:tc>
              <w:tc>
                <w:tcPr>
                  <w:tcW w:w="572" w:type="pct"/>
                  <w:vMerge w:val="restart"/>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275"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273" w:type="pct"/>
                  <w:noWrap w:val="0"/>
                  <w:vAlign w:val="center"/>
                </w:tcPr>
                <w:p>
                  <w:pPr>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化粪池</w:t>
                  </w:r>
                </w:p>
              </w:tc>
              <w:tc>
                <w:tcPr>
                  <w:tcW w:w="2789" w:type="pct"/>
                  <w:noWrap w:val="0"/>
                  <w:vAlign w:val="top"/>
                </w:tcPr>
                <w:p>
                  <w:pPr>
                    <w:pStyle w:val="45"/>
                    <w:keepNext w:val="0"/>
                    <w:keepLines w:val="0"/>
                    <w:pageBreakBefore w:val="0"/>
                    <w:wordWrap/>
                    <w:overflowPunct/>
                    <w:topLinePunct w:val="0"/>
                    <w:bidi w:val="0"/>
                    <w:spacing w:line="240" w:lineRule="auto"/>
                    <w:ind w:left="0" w:right="0" w:firstLine="420" w:firstLineChars="200"/>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本项目厂区提供食宿，主要污水为食堂废水和生活污水，</w:t>
                  </w:r>
                  <w:r>
                    <w:rPr>
                      <w:rFonts w:hint="default" w:ascii="Times New Roman" w:hAnsi="Times New Roman" w:cs="Times New Roman"/>
                      <w:b w:val="0"/>
                      <w:bCs w:val="0"/>
                      <w:color w:val="auto"/>
                      <w:sz w:val="21"/>
                      <w:szCs w:val="21"/>
                      <w:lang w:val="en-US" w:eastAsia="zh-CN"/>
                    </w:rPr>
                    <w:t>本项目分近期和远期排水，近期，</w:t>
                  </w:r>
                  <w:r>
                    <w:rPr>
                      <w:rFonts w:hint="default" w:ascii="Times New Roman" w:hAnsi="Times New Roman" w:cs="Times New Roman"/>
                      <w:b w:val="0"/>
                      <w:bCs w:val="0"/>
                      <w:color w:val="auto"/>
                      <w:sz w:val="21"/>
                      <w:szCs w:val="21"/>
                    </w:rPr>
                    <w:t>食堂废水经</w:t>
                  </w:r>
                  <w:r>
                    <w:rPr>
                      <w:rFonts w:hint="eastAsia" w:ascii="Times New Roman" w:hAnsi="Times New Roman" w:cs="Times New Roman"/>
                      <w:b w:val="0"/>
                      <w:bCs w:val="0"/>
                      <w:color w:val="auto"/>
                      <w:sz w:val="21"/>
                      <w:szCs w:val="21"/>
                      <w:lang w:eastAsia="zh-CN"/>
                    </w:rPr>
                    <w:t>油水分离器</w:t>
                  </w:r>
                  <w:r>
                    <w:rPr>
                      <w:rFonts w:hint="default" w:ascii="Times New Roman" w:hAnsi="Times New Roman" w:cs="Times New Roman"/>
                      <w:b w:val="0"/>
                      <w:bCs w:val="0"/>
                      <w:color w:val="auto"/>
                      <w:sz w:val="21"/>
                      <w:szCs w:val="21"/>
                    </w:rPr>
                    <w:t>处理后与其他生活污水一起排入依托</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lang w:val="en-US" w:eastAsia="zh-CN"/>
                    </w:rPr>
                    <w:t>3号</w:t>
                  </w:r>
                  <w:r>
                    <w:rPr>
                      <w:rFonts w:hint="default" w:ascii="Times New Roman" w:hAnsi="Times New Roman" w:cs="Times New Roman"/>
                      <w:b w:val="0"/>
                      <w:bCs w:val="0"/>
                      <w:color w:val="auto"/>
                      <w:sz w:val="21"/>
                      <w:szCs w:val="21"/>
                    </w:rPr>
                    <w:t>厂房的化粪池处理后，最终进入</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rPr>
                    <w:t>自建的一体化污水处理设施处理达标后晴天回用于</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rPr>
                    <w:t>的绿化及道路洒水降尘，不外排，雨天暂存于回用水池。化粪池容积为10</w:t>
                  </w:r>
                  <w:r>
                    <w:rPr>
                      <w:rFonts w:hint="default" w:ascii="Times New Roman" w:hAnsi="Times New Roman" w:cs="Times New Roman"/>
                      <w:b w:val="0"/>
                      <w:bCs w:val="0"/>
                      <w:color w:val="auto"/>
                      <w:sz w:val="21"/>
                      <w:szCs w:val="21"/>
                      <w:lang w:eastAsia="zh-CN"/>
                    </w:rPr>
                    <w:t>m³</w:t>
                  </w:r>
                  <w:r>
                    <w:rPr>
                      <w:rFonts w:hint="default" w:ascii="Times New Roman" w:hAnsi="Times New Roman" w:cs="Times New Roman"/>
                      <w:b w:val="0"/>
                      <w:bCs w:val="0"/>
                      <w:color w:val="auto"/>
                      <w:sz w:val="21"/>
                      <w:szCs w:val="21"/>
                      <w:vertAlign w:val="baseline"/>
                      <w:lang w:eastAsia="zh-CN"/>
                    </w:rPr>
                    <w:t>（</w:t>
                  </w:r>
                  <w:r>
                    <w:rPr>
                      <w:rFonts w:hint="default" w:ascii="Times New Roman" w:hAnsi="Times New Roman" w:cs="Times New Roman"/>
                      <w:b w:val="0"/>
                      <w:bCs w:val="0"/>
                      <w:color w:val="auto"/>
                      <w:sz w:val="21"/>
                      <w:szCs w:val="21"/>
                      <w:vertAlign w:val="baseline"/>
                      <w:lang w:val="en-US" w:eastAsia="zh-CN"/>
                    </w:rPr>
                    <w:t>租用</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lang w:val="en-US" w:eastAsia="zh-CN"/>
                    </w:rPr>
                    <w:t>本项目单独使用</w:t>
                  </w:r>
                  <w:r>
                    <w:rPr>
                      <w:rFonts w:hint="default" w:ascii="Times New Roman" w:hAnsi="Times New Roman" w:cs="Times New Roman"/>
                      <w:b w:val="0"/>
                      <w:bCs w:val="0"/>
                      <w:color w:val="auto"/>
                      <w:sz w:val="21"/>
                      <w:szCs w:val="21"/>
                      <w:vertAlign w:val="baseline"/>
                      <w:lang w:eastAsia="zh-CN"/>
                    </w:rPr>
                    <w:t>）</w:t>
                  </w:r>
                  <w:r>
                    <w:rPr>
                      <w:rFonts w:hint="default" w:ascii="Times New Roman" w:hAnsi="Times New Roman" w:cs="Times New Roman"/>
                      <w:b w:val="0"/>
                      <w:bCs w:val="0"/>
                      <w:color w:val="auto"/>
                      <w:sz w:val="21"/>
                      <w:szCs w:val="21"/>
                    </w:rPr>
                    <w:t>。</w:t>
                  </w:r>
                </w:p>
              </w:tc>
              <w:tc>
                <w:tcPr>
                  <w:tcW w:w="572"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275"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54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273" w:type="pct"/>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雨污分流</w:t>
                  </w:r>
                </w:p>
              </w:tc>
              <w:tc>
                <w:tcPr>
                  <w:tcW w:w="2789" w:type="pct"/>
                  <w:noWrap w:val="0"/>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依托</w:t>
                  </w:r>
                  <w:r>
                    <w:rPr>
                      <w:rFonts w:hint="default" w:ascii="Times New Roman" w:hAnsi="Times New Roman" w:eastAsia="宋体" w:cs="Times New Roman"/>
                      <w:b w:val="0"/>
                      <w:bCs w:val="0"/>
                      <w:color w:val="auto"/>
                      <w:sz w:val="21"/>
                      <w:szCs w:val="21"/>
                      <w:lang w:eastAsia="zh-CN"/>
                    </w:rPr>
                    <w:t>云南鑫成鹏高分子科技有限公司</w:t>
                  </w:r>
                  <w:r>
                    <w:rPr>
                      <w:rFonts w:hint="default" w:ascii="Times New Roman" w:hAnsi="Times New Roman" w:eastAsia="宋体" w:cs="Times New Roman"/>
                      <w:b w:val="0"/>
                      <w:bCs w:val="0"/>
                      <w:color w:val="auto"/>
                      <w:sz w:val="21"/>
                      <w:szCs w:val="21"/>
                    </w:rPr>
                    <w:t>已建成了雨污分流系统</w:t>
                  </w:r>
                </w:p>
              </w:tc>
              <w:tc>
                <w:tcPr>
                  <w:tcW w:w="572"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275" w:type="pct"/>
                  <w:vMerge w:val="continue"/>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c>
                <w:tcPr>
                  <w:tcW w:w="273" w:type="pct"/>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生产用水</w:t>
                  </w:r>
                </w:p>
              </w:tc>
              <w:tc>
                <w:tcPr>
                  <w:tcW w:w="543" w:type="pct"/>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中空玻璃清洗用水</w:t>
                  </w:r>
                </w:p>
              </w:tc>
              <w:tc>
                <w:tcPr>
                  <w:tcW w:w="273" w:type="pct"/>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循环水池</w:t>
                  </w:r>
                </w:p>
              </w:tc>
              <w:tc>
                <w:tcPr>
                  <w:tcW w:w="2789" w:type="pct"/>
                  <w:noWrap w:val="0"/>
                  <w:vAlign w:val="center"/>
                </w:tcPr>
                <w:p>
                  <w:pPr>
                    <w:pStyle w:val="11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kern w:val="2"/>
                      <w:sz w:val="21"/>
                      <w:szCs w:val="21"/>
                      <w:lang w:val="en-US" w:eastAsia="zh-CN" w:bidi="ar-SA"/>
                    </w:rPr>
                    <w:t>项目的主要生产用水为中空玻璃的清洗用水（不添加任何清洗剂）清洗废水流入机器自带的沉淀槽经静置沉淀后，清洗水循环回用定期更换清洗废水定期更换清洗废水定期更换清洗废水，不外排。</w:t>
                  </w:r>
                </w:p>
              </w:tc>
              <w:tc>
                <w:tcPr>
                  <w:tcW w:w="572"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restart"/>
                  <w:noWrap w:val="0"/>
                  <w:vAlign w:val="center"/>
                </w:tcPr>
                <w:p>
                  <w:pPr>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依托设施</w:t>
                  </w:r>
                </w:p>
              </w:tc>
              <w:tc>
                <w:tcPr>
                  <w:tcW w:w="1091" w:type="pct"/>
                  <w:gridSpan w:val="3"/>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化粪池</w:t>
                  </w:r>
                </w:p>
              </w:tc>
              <w:tc>
                <w:tcPr>
                  <w:tcW w:w="3062" w:type="pct"/>
                  <w:gridSpan w:val="2"/>
                  <w:noWrap w:val="0"/>
                  <w:vAlign w:val="top"/>
                </w:tcPr>
                <w:p>
                  <w:pPr>
                    <w:pStyle w:val="45"/>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化粪池容积为10</w:t>
                  </w:r>
                  <w:r>
                    <w:rPr>
                      <w:rFonts w:hint="default" w:ascii="Times New Roman" w:hAnsi="Times New Roman" w:cs="Times New Roman"/>
                      <w:b w:val="0"/>
                      <w:bCs w:val="0"/>
                      <w:color w:val="auto"/>
                      <w:sz w:val="21"/>
                      <w:szCs w:val="21"/>
                      <w:lang w:eastAsia="zh-CN"/>
                    </w:rPr>
                    <w:t>m³</w:t>
                  </w:r>
                  <w:r>
                    <w:rPr>
                      <w:rFonts w:hint="default" w:ascii="Times New Roman" w:hAnsi="Times New Roman" w:cs="Times New Roman"/>
                      <w:b w:val="0"/>
                      <w:bCs w:val="0"/>
                      <w:color w:val="auto"/>
                      <w:sz w:val="21"/>
                      <w:szCs w:val="21"/>
                      <w:vertAlign w:val="baseline"/>
                      <w:lang w:eastAsia="zh-CN"/>
                    </w:rPr>
                    <w:t>（</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lang w:val="en-US" w:eastAsia="zh-CN"/>
                    </w:rPr>
                    <w:t>本项目单独使用</w:t>
                  </w:r>
                  <w:r>
                    <w:rPr>
                      <w:rFonts w:hint="default" w:ascii="Times New Roman" w:hAnsi="Times New Roman" w:cs="Times New Roman"/>
                      <w:b w:val="0"/>
                      <w:bCs w:val="0"/>
                      <w:color w:val="auto"/>
                      <w:sz w:val="21"/>
                      <w:szCs w:val="21"/>
                      <w:vertAlign w:val="baseline"/>
                      <w:lang w:eastAsia="zh-CN"/>
                    </w:rPr>
                    <w:t>）</w:t>
                  </w:r>
                  <w:r>
                    <w:rPr>
                      <w:rFonts w:hint="default" w:ascii="Times New Roman" w:hAnsi="Times New Roman" w:cs="Times New Roman"/>
                      <w:b w:val="0"/>
                      <w:bCs w:val="0"/>
                      <w:color w:val="auto"/>
                      <w:sz w:val="21"/>
                      <w:szCs w:val="21"/>
                    </w:rPr>
                    <w:t>。</w:t>
                  </w:r>
                </w:p>
              </w:tc>
              <w:tc>
                <w:tcPr>
                  <w:tcW w:w="572" w:type="pct"/>
                  <w:vMerge w:val="restart"/>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rPr>
                  </w:pPr>
                </w:p>
              </w:tc>
              <w:tc>
                <w:tcPr>
                  <w:tcW w:w="1091" w:type="pct"/>
                  <w:gridSpan w:val="3"/>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雨污分流</w:t>
                  </w:r>
                </w:p>
              </w:tc>
              <w:tc>
                <w:tcPr>
                  <w:tcW w:w="3062" w:type="pct"/>
                  <w:gridSpan w:val="2"/>
                  <w:noWrap w:val="0"/>
                  <w:vAlign w:val="top"/>
                </w:tcPr>
                <w:p>
                  <w:pPr>
                    <w:pStyle w:val="45"/>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依托</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rPr>
                    <w:t>内已建成了雨污分流系统</w:t>
                  </w:r>
                </w:p>
              </w:tc>
              <w:tc>
                <w:tcPr>
                  <w:tcW w:w="572"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3"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rPr>
                  </w:pPr>
                </w:p>
              </w:tc>
              <w:tc>
                <w:tcPr>
                  <w:tcW w:w="1091" w:type="pct"/>
                  <w:gridSpan w:val="3"/>
                  <w:noWrap w:val="0"/>
                  <w:vAlign w:val="center"/>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一体化污水处理设施</w:t>
                  </w:r>
                </w:p>
              </w:tc>
              <w:tc>
                <w:tcPr>
                  <w:tcW w:w="3062" w:type="pct"/>
                  <w:gridSpan w:val="2"/>
                  <w:noWrap w:val="0"/>
                  <w:vAlign w:val="top"/>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firstLine="420" w:firstLineChars="20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依托</w:t>
                  </w:r>
                  <w:r>
                    <w:rPr>
                      <w:rFonts w:hint="default" w:ascii="Times New Roman" w:hAnsi="Times New Roman" w:cs="Times New Roman"/>
                      <w:b w:val="0"/>
                      <w:bCs w:val="0"/>
                      <w:color w:val="auto"/>
                      <w:sz w:val="21"/>
                      <w:szCs w:val="21"/>
                      <w:lang w:eastAsia="zh-CN"/>
                    </w:rPr>
                    <w:t>云南鑫成鹏高分子科技有限公司</w:t>
                  </w:r>
                  <w:r>
                    <w:rPr>
                      <w:rFonts w:hint="default" w:ascii="Times New Roman" w:hAnsi="Times New Roman" w:cs="Times New Roman"/>
                      <w:b w:val="0"/>
                      <w:bCs w:val="0"/>
                      <w:color w:val="auto"/>
                      <w:sz w:val="21"/>
                      <w:szCs w:val="21"/>
                    </w:rPr>
                    <w:t>内已建成了的一体化污水处理设施</w:t>
                  </w:r>
                  <w:r>
                    <w:rPr>
                      <w:rFonts w:hint="default" w:ascii="Times New Roman" w:hAnsi="Times New Roman" w:cs="Times New Roman"/>
                      <w:b w:val="0"/>
                      <w:bCs w:val="0"/>
                      <w:color w:val="auto"/>
                      <w:sz w:val="21"/>
                      <w:szCs w:val="21"/>
                      <w:lang w:eastAsia="zh-CN"/>
                    </w:rPr>
                    <w:t>（</w:t>
                  </w:r>
                  <w:r>
                    <w:rPr>
                      <w:rFonts w:hint="eastAsia" w:ascii="Times New Roman" w:hAnsi="Times New Roman" w:cs="Times New Roman"/>
                      <w:b w:val="0"/>
                      <w:bCs w:val="0"/>
                      <w:color w:val="auto"/>
                      <w:sz w:val="21"/>
                      <w:szCs w:val="21"/>
                      <w:lang w:val="en-US" w:eastAsia="zh-CN"/>
                    </w:rPr>
                    <w:t>10</w:t>
                  </w:r>
                  <w:r>
                    <w:rPr>
                      <w:rFonts w:hint="default" w:ascii="Times New Roman" w:hAnsi="Times New Roman" w:cs="Times New Roman"/>
                      <w:b w:val="0"/>
                      <w:bCs w:val="0"/>
                      <w:color w:val="auto"/>
                      <w:sz w:val="21"/>
                      <w:szCs w:val="21"/>
                      <w:lang w:val="en-US" w:eastAsia="zh-CN"/>
                    </w:rPr>
                    <w:t>m³</w:t>
                  </w:r>
                  <w:r>
                    <w:rPr>
                      <w:rFonts w:hint="default" w:ascii="Times New Roman" w:hAnsi="Times New Roman" w:cs="Times New Roman"/>
                      <w:b w:val="0"/>
                      <w:bCs w:val="0"/>
                      <w:color w:val="auto"/>
                      <w:sz w:val="21"/>
                      <w:szCs w:val="21"/>
                      <w:vertAlign w:val="baseline"/>
                      <w:lang w:val="en-US" w:eastAsia="zh-CN"/>
                    </w:rPr>
                    <w:t>/d</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w:t>
                  </w:r>
                </w:p>
              </w:tc>
              <w:tc>
                <w:tcPr>
                  <w:tcW w:w="572" w:type="pct"/>
                  <w:vMerge w:val="continue"/>
                  <w:noWrap w:val="0"/>
                  <w:vAlign w:val="center"/>
                </w:tcPr>
                <w:p>
                  <w:pPr>
                    <w:pStyle w:val="45"/>
                    <w:keepNext w:val="0"/>
                    <w:keepLines w:val="0"/>
                    <w:pageBreakBefore w:val="0"/>
                    <w:wordWrap/>
                    <w:overflowPunct/>
                    <w:topLinePunct w:val="0"/>
                    <w:bidi w:val="0"/>
                    <w:spacing w:line="240" w:lineRule="auto"/>
                    <w:ind w:left="0" w:right="0" w:firstLine="0" w:firstLineChars="0"/>
                    <w:rPr>
                      <w:rFonts w:hint="default" w:ascii="Times New Roman" w:hAnsi="Times New Roman" w:cs="Times New Roman"/>
                      <w:b w:val="0"/>
                      <w:bCs w:val="0"/>
                      <w:color w:val="auto"/>
                      <w:sz w:val="21"/>
                      <w:szCs w:val="21"/>
                    </w:rPr>
                  </w:pPr>
                </w:p>
              </w:tc>
            </w:tr>
          </w:tbl>
          <w:p>
            <w:pPr>
              <w:adjustRightInd w:val="0"/>
              <w:snapToGrid w:val="0"/>
              <w:spacing w:before="120" w:beforeLines="50" w:line="360" w:lineRule="auto"/>
              <w:ind w:firstLine="482" w:firstLineChars="200"/>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2、产品方案</w:t>
            </w:r>
          </w:p>
          <w:p>
            <w:pPr>
              <w:bidi w:val="0"/>
              <w:rPr>
                <w:rFonts w:hint="default" w:ascii="Times New Roman" w:hAnsi="Times New Roman" w:cs="Times New Roman"/>
              </w:rPr>
            </w:pPr>
            <w:r>
              <w:rPr>
                <w:rFonts w:hint="default" w:ascii="Times New Roman" w:hAnsi="Times New Roman" w:cs="Times New Roman"/>
              </w:rPr>
              <w:t>项目产品主要为</w:t>
            </w:r>
            <w:r>
              <w:rPr>
                <w:rFonts w:hint="default" w:ascii="Times New Roman" w:hAnsi="Times New Roman" w:cs="Times New Roman"/>
                <w:lang w:val="en-US" w:eastAsia="zh-CN"/>
              </w:rPr>
              <w:t>中空玻璃</w:t>
            </w:r>
            <w:r>
              <w:rPr>
                <w:rFonts w:hint="default" w:ascii="Times New Roman" w:hAnsi="Times New Roman" w:cs="Times New Roman"/>
                <w:lang w:eastAsia="zh-CN"/>
              </w:rPr>
              <w:t>，</w:t>
            </w:r>
            <w:r>
              <w:rPr>
                <w:rFonts w:hint="default" w:ascii="Times New Roman" w:hAnsi="Times New Roman" w:cs="Times New Roman"/>
                <w:lang w:val="en-US" w:eastAsia="zh-CN"/>
              </w:rPr>
              <w:t>项目建成后，预计年产中空玻璃55万㎡。</w:t>
            </w:r>
            <w:r>
              <w:rPr>
                <w:rFonts w:hint="default" w:ascii="Times New Roman" w:hAnsi="Times New Roman" w:cs="Times New Roman"/>
              </w:rPr>
              <w:t>具体产品方案见表2-2。</w:t>
            </w:r>
          </w:p>
          <w:p>
            <w:pPr>
              <w:pStyle w:val="36"/>
              <w:bidi w:val="0"/>
              <w:rPr>
                <w:rFonts w:hint="default" w:ascii="Times New Roman" w:hAnsi="Times New Roman" w:cs="Times New Roman"/>
                <w:lang w:val="en-US" w:eastAsia="zh-CN"/>
              </w:rPr>
            </w:pPr>
          </w:p>
          <w:p>
            <w:pPr>
              <w:pStyle w:val="36"/>
              <w:bidi w:val="0"/>
              <w:rPr>
                <w:rFonts w:hint="default" w:ascii="Times New Roman" w:hAnsi="Times New Roman" w:cs="Times New Roman"/>
                <w:lang w:val="en-US" w:eastAsia="zh-CN"/>
              </w:rPr>
            </w:pPr>
            <w:r>
              <w:rPr>
                <w:rFonts w:hint="default" w:ascii="Times New Roman" w:hAnsi="Times New Roman" w:cs="Times New Roman"/>
                <w:lang w:val="en-US" w:eastAsia="zh-CN"/>
              </w:rPr>
              <w:t>表2-2项目产品种类表</w:t>
            </w:r>
          </w:p>
          <w:tbl>
            <w:tblPr>
              <w:tblStyle w:val="98"/>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062"/>
              <w:gridCol w:w="3082"/>
              <w:gridCol w:w="17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929" w:type="pct"/>
                  <w:noWrap w:val="0"/>
                  <w:vAlign w:val="top"/>
                </w:tcPr>
                <w:p>
                  <w:pPr>
                    <w:pStyle w:val="45"/>
                    <w:bidi w:val="0"/>
                    <w:jc w:val="center"/>
                    <w:rPr>
                      <w:rFonts w:hint="default" w:ascii="Times New Roman" w:hAnsi="Times New Roman" w:cs="Times New Roman"/>
                    </w:rPr>
                  </w:pPr>
                  <w:r>
                    <w:rPr>
                      <w:rFonts w:hint="default" w:ascii="Times New Roman" w:hAnsi="Times New Roman" w:cs="Times New Roman"/>
                    </w:rPr>
                    <w:t>产品</w:t>
                  </w:r>
                </w:p>
              </w:tc>
              <w:tc>
                <w:tcPr>
                  <w:tcW w:w="1941" w:type="pct"/>
                  <w:noWrap w:val="0"/>
                  <w:vAlign w:val="top"/>
                </w:tcPr>
                <w:p>
                  <w:pPr>
                    <w:pStyle w:val="45"/>
                    <w:bidi w:val="0"/>
                    <w:jc w:val="center"/>
                    <w:rPr>
                      <w:rFonts w:hint="default" w:ascii="Times New Roman" w:hAnsi="Times New Roman" w:cs="Times New Roman"/>
                    </w:rPr>
                  </w:pPr>
                  <w:r>
                    <w:rPr>
                      <w:rFonts w:hint="default" w:ascii="Times New Roman" w:hAnsi="Times New Roman" w:cs="Times New Roman"/>
                    </w:rPr>
                    <w:t>规格（尺寸）</w:t>
                  </w:r>
                </w:p>
              </w:tc>
              <w:tc>
                <w:tcPr>
                  <w:tcW w:w="1129" w:type="pct"/>
                  <w:noWrap w:val="0"/>
                  <w:vAlign w:val="top"/>
                </w:tcPr>
                <w:p>
                  <w:pPr>
                    <w:pStyle w:val="45"/>
                    <w:bidi w:val="0"/>
                    <w:jc w:val="center"/>
                    <w:rPr>
                      <w:rFonts w:hint="default" w:ascii="Times New Roman" w:hAnsi="Times New Roman" w:cs="Times New Roman"/>
                    </w:rPr>
                  </w:pPr>
                  <w:r>
                    <w:rPr>
                      <w:rFonts w:hint="default" w:ascii="Times New Roman" w:hAnsi="Times New Roman" w:cs="Times New Roman"/>
                    </w:rPr>
                    <w:t>年产量（</w:t>
                  </w:r>
                  <w:r>
                    <w:rPr>
                      <w:rFonts w:hint="default" w:ascii="Times New Roman" w:hAnsi="Times New Roman" w:cs="Times New Roman"/>
                      <w:lang w:eastAsia="zh-CN"/>
                    </w:rPr>
                    <w:t>㎡</w:t>
                  </w:r>
                  <w:r>
                    <w:rPr>
                      <w:rFonts w:hint="default" w:ascii="Times New Roman" w:hAnsi="Times New Roman" w:cs="Times New Roman"/>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29" w:type="pct"/>
                  <w:noWrap w:val="0"/>
                  <w:vAlign w:val="top"/>
                </w:tcPr>
                <w:p>
                  <w:pPr>
                    <w:pStyle w:val="45"/>
                    <w:bidi w:val="0"/>
                    <w:jc w:val="center"/>
                    <w:rPr>
                      <w:rFonts w:hint="default" w:ascii="Times New Roman" w:hAnsi="Times New Roman" w:cs="Times New Roman"/>
                    </w:rPr>
                  </w:pPr>
                  <w:r>
                    <w:rPr>
                      <w:rFonts w:hint="default" w:ascii="Times New Roman" w:hAnsi="Times New Roman" w:cs="Times New Roman"/>
                    </w:rPr>
                    <w:t>中空玻璃</w:t>
                  </w:r>
                </w:p>
              </w:tc>
              <w:tc>
                <w:tcPr>
                  <w:tcW w:w="1941" w:type="pct"/>
                  <w:noWrap w:val="0"/>
                  <w:vAlign w:val="top"/>
                </w:tcPr>
                <w:p>
                  <w:pPr>
                    <w:pStyle w:val="45"/>
                    <w:bidi w:val="0"/>
                    <w:jc w:val="center"/>
                    <w:rPr>
                      <w:rFonts w:hint="default" w:ascii="Times New Roman" w:hAnsi="Times New Roman" w:cs="Times New Roman"/>
                    </w:rPr>
                  </w:pPr>
                  <w:r>
                    <w:rPr>
                      <w:rFonts w:hint="default" w:ascii="Times New Roman" w:hAnsi="Times New Roman" w:cs="Times New Roman"/>
                    </w:rPr>
                    <w:t>依据客户定制</w:t>
                  </w:r>
                </w:p>
              </w:tc>
              <w:tc>
                <w:tcPr>
                  <w:tcW w:w="1129" w:type="pct"/>
                  <w:noWrap w:val="0"/>
                  <w:vAlign w:val="top"/>
                </w:tcPr>
                <w:p>
                  <w:pPr>
                    <w:pStyle w:val="45"/>
                    <w:bidi w:val="0"/>
                    <w:jc w:val="center"/>
                    <w:rPr>
                      <w:rFonts w:hint="default" w:ascii="Times New Roman" w:hAnsi="Times New Roman" w:eastAsia="宋体" w:cs="Times New Roman"/>
                      <w:lang w:eastAsia="zh-CN"/>
                    </w:rPr>
                  </w:pPr>
                  <w:r>
                    <w:rPr>
                      <w:rFonts w:hint="default" w:ascii="Times New Roman" w:hAnsi="Times New Roman" w:cs="Times New Roman"/>
                      <w:lang w:val="en-US" w:eastAsia="zh-CN"/>
                    </w:rPr>
                    <w:t>55万</w:t>
                  </w:r>
                  <w:r>
                    <w:rPr>
                      <w:rFonts w:hint="default" w:ascii="Times New Roman" w:hAnsi="Times New Roman" w:cs="Times New Roman"/>
                      <w:lang w:eastAsia="zh-CN"/>
                    </w:rPr>
                    <w:t>㎡</w:t>
                  </w:r>
                </w:p>
              </w:tc>
            </w:tr>
          </w:tbl>
          <w:p>
            <w:pPr>
              <w:adjustRightInd w:val="0"/>
              <w:snapToGrid w:val="0"/>
              <w:spacing w:line="360" w:lineRule="auto"/>
              <w:ind w:firstLine="482" w:firstLineChars="200"/>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3、主要原辅材料及能源消耗</w:t>
            </w:r>
          </w:p>
          <w:p>
            <w:pPr>
              <w:adjustRightInd w:val="0"/>
              <w:snapToGrid w:val="0"/>
              <w:spacing w:line="360" w:lineRule="auto"/>
              <w:ind w:firstLine="482" w:firstLineChars="200"/>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（1）原辅料用料情况</w:t>
            </w:r>
          </w:p>
          <w:p>
            <w:pPr>
              <w:adjustRightInd w:val="0"/>
              <w:snapToGrid w:val="0"/>
              <w:spacing w:line="360" w:lineRule="auto"/>
              <w:ind w:firstLine="48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项目主要原辅料见表2-</w:t>
            </w:r>
            <w:r>
              <w:rPr>
                <w:rFonts w:hint="default" w:ascii="Times New Roman" w:hAnsi="Times New Roman" w:cs="Times New Roman" w:eastAsiaTheme="minorEastAsia"/>
                <w:color w:val="auto"/>
                <w:szCs w:val="21"/>
                <w:lang w:val="en-US" w:eastAsia="zh-CN"/>
              </w:rPr>
              <w:t>3</w:t>
            </w:r>
            <w:r>
              <w:rPr>
                <w:rFonts w:hint="default" w:ascii="Times New Roman" w:hAnsi="Times New Roman" w:cs="Times New Roman" w:eastAsiaTheme="minorEastAsia"/>
                <w:color w:val="auto"/>
                <w:szCs w:val="21"/>
              </w:rPr>
              <w:t>。</w:t>
            </w:r>
          </w:p>
          <w:p>
            <w:pPr>
              <w:pStyle w:val="36"/>
              <w:bidi w:val="0"/>
              <w:rPr>
                <w:rFonts w:hint="default" w:ascii="Times New Roman" w:hAnsi="Times New Roman" w:cs="Times New Roman"/>
                <w:lang w:val="en-US" w:eastAsia="zh-CN"/>
              </w:rPr>
            </w:pPr>
            <w:r>
              <w:rPr>
                <w:rFonts w:hint="default" w:ascii="Times New Roman" w:hAnsi="Times New Roman" w:cs="Times New Roman"/>
                <w:lang w:val="en-US" w:eastAsia="zh-CN"/>
              </w:rPr>
              <w:t>表2-3原辅材料用量表</w:t>
            </w:r>
          </w:p>
          <w:tbl>
            <w:tblPr>
              <w:tblStyle w:val="98"/>
              <w:tblW w:w="500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3"/>
              <w:gridCol w:w="1918"/>
              <w:gridCol w:w="1788"/>
              <w:gridCol w:w="1867"/>
              <w:gridCol w:w="15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87"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序号</w:t>
                  </w:r>
                </w:p>
              </w:tc>
              <w:tc>
                <w:tcPr>
                  <w:tcW w:w="1207"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材料名称</w:t>
                  </w:r>
                </w:p>
              </w:tc>
              <w:tc>
                <w:tcPr>
                  <w:tcW w:w="112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年使用量</w:t>
                  </w:r>
                </w:p>
              </w:tc>
              <w:tc>
                <w:tcPr>
                  <w:tcW w:w="117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用途</w:t>
                  </w:r>
                </w:p>
              </w:tc>
              <w:tc>
                <w:tcPr>
                  <w:tcW w:w="1003"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87"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1</w:t>
                  </w:r>
                </w:p>
              </w:tc>
              <w:tc>
                <w:tcPr>
                  <w:tcW w:w="1207"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钢化玻璃</w:t>
                  </w:r>
                </w:p>
              </w:tc>
              <w:tc>
                <w:tcPr>
                  <w:tcW w:w="1125" w:type="pct"/>
                  <w:noWrap w:val="0"/>
                  <w:vAlign w:val="center"/>
                </w:tcPr>
                <w:p>
                  <w:pPr>
                    <w:pStyle w:val="45"/>
                    <w:bidi w:val="0"/>
                    <w:rPr>
                      <w:rFonts w:hint="default" w:ascii="Times New Roman" w:hAnsi="Times New Roman" w:eastAsia="宋体" w:cs="Times New Roman"/>
                      <w:b w:val="0"/>
                      <w:bCs/>
                      <w:lang w:eastAsia="zh-CN"/>
                    </w:rPr>
                  </w:pPr>
                  <w:r>
                    <w:rPr>
                      <w:rFonts w:hint="default" w:ascii="Times New Roman" w:hAnsi="Times New Roman" w:cs="Times New Roman"/>
                      <w:b w:val="0"/>
                      <w:bCs/>
                      <w:lang w:val="en-US" w:eastAsia="zh-CN"/>
                    </w:rPr>
                    <w:t>110</w:t>
                  </w:r>
                  <w:r>
                    <w:rPr>
                      <w:rFonts w:hint="default" w:ascii="Times New Roman" w:hAnsi="Times New Roman" w:cs="Times New Roman"/>
                      <w:b w:val="0"/>
                      <w:bCs/>
                    </w:rPr>
                    <w:t>万</w:t>
                  </w:r>
                  <w:r>
                    <w:rPr>
                      <w:rFonts w:hint="default" w:ascii="Times New Roman" w:hAnsi="Times New Roman" w:cs="Times New Roman"/>
                      <w:b w:val="0"/>
                      <w:bCs/>
                      <w:lang w:eastAsia="zh-CN"/>
                    </w:rPr>
                    <w:t>㎡</w:t>
                  </w:r>
                </w:p>
              </w:tc>
              <w:tc>
                <w:tcPr>
                  <w:tcW w:w="117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中空玻璃</w:t>
                  </w:r>
                </w:p>
              </w:tc>
              <w:tc>
                <w:tcPr>
                  <w:tcW w:w="1003" w:type="pct"/>
                  <w:vMerge w:val="restart"/>
                  <w:tcBorders>
                    <w:bottom w:val="nil"/>
                  </w:tcBorders>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87"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2</w:t>
                  </w:r>
                </w:p>
              </w:tc>
              <w:tc>
                <w:tcPr>
                  <w:tcW w:w="1207"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JS8000建筑用双组份硅酮结构密封胶</w:t>
                  </w:r>
                </w:p>
              </w:tc>
              <w:tc>
                <w:tcPr>
                  <w:tcW w:w="112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eastAsia="zh-CN"/>
                    </w:rPr>
                    <w:t>50</w:t>
                  </w:r>
                  <w:r>
                    <w:rPr>
                      <w:rFonts w:hint="default" w:ascii="Times New Roman" w:hAnsi="Times New Roman" w:cs="Times New Roman"/>
                      <w:b w:val="0"/>
                      <w:bCs/>
                    </w:rPr>
                    <w:t>t</w:t>
                  </w:r>
                </w:p>
              </w:tc>
              <w:tc>
                <w:tcPr>
                  <w:tcW w:w="1175" w:type="pct"/>
                  <w:vMerge w:val="restart"/>
                  <w:tcBorders>
                    <w:bottom w:val="nil"/>
                  </w:tcBorders>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生产中空玻璃</w:t>
                  </w:r>
                </w:p>
              </w:tc>
              <w:tc>
                <w:tcPr>
                  <w:tcW w:w="1003" w:type="pct"/>
                  <w:vMerge w:val="continue"/>
                  <w:tcBorders>
                    <w:top w:val="nil"/>
                    <w:bottom w:val="nil"/>
                  </w:tcBorders>
                  <w:noWrap w:val="0"/>
                  <w:vAlign w:val="center"/>
                </w:tcPr>
                <w:p>
                  <w:pPr>
                    <w:pStyle w:val="45"/>
                    <w:bidi w:val="0"/>
                    <w:rPr>
                      <w:rFonts w:hint="default" w:ascii="Times New Roman" w:hAnsi="Times New Roman" w:cs="Times New Roman"/>
                      <w:b w:val="0"/>
                      <w:bC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87"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3</w:t>
                  </w:r>
                </w:p>
              </w:tc>
              <w:tc>
                <w:tcPr>
                  <w:tcW w:w="1207"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丁基胶</w:t>
                  </w:r>
                </w:p>
              </w:tc>
              <w:tc>
                <w:tcPr>
                  <w:tcW w:w="112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eastAsia="zh-CN"/>
                    </w:rPr>
                    <w:t>25</w:t>
                  </w:r>
                  <w:r>
                    <w:rPr>
                      <w:rFonts w:hint="default" w:ascii="Times New Roman" w:hAnsi="Times New Roman" w:cs="Times New Roman"/>
                      <w:b w:val="0"/>
                      <w:bCs/>
                    </w:rPr>
                    <w:t>t</w:t>
                  </w:r>
                </w:p>
              </w:tc>
              <w:tc>
                <w:tcPr>
                  <w:tcW w:w="1175" w:type="pct"/>
                  <w:vMerge w:val="continue"/>
                  <w:tcBorders>
                    <w:top w:val="nil"/>
                    <w:bottom w:val="nil"/>
                  </w:tcBorders>
                  <w:noWrap w:val="0"/>
                  <w:vAlign w:val="center"/>
                </w:tcPr>
                <w:p>
                  <w:pPr>
                    <w:pStyle w:val="45"/>
                    <w:bidi w:val="0"/>
                    <w:rPr>
                      <w:rFonts w:hint="default" w:ascii="Times New Roman" w:hAnsi="Times New Roman" w:cs="Times New Roman"/>
                      <w:b w:val="0"/>
                      <w:bCs/>
                    </w:rPr>
                  </w:pPr>
                </w:p>
              </w:tc>
              <w:tc>
                <w:tcPr>
                  <w:tcW w:w="1003" w:type="pct"/>
                  <w:vMerge w:val="continue"/>
                  <w:tcBorders>
                    <w:top w:val="nil"/>
                    <w:bottom w:val="nil"/>
                  </w:tcBorders>
                  <w:noWrap w:val="0"/>
                  <w:vAlign w:val="center"/>
                </w:tcPr>
                <w:p>
                  <w:pPr>
                    <w:pStyle w:val="45"/>
                    <w:bidi w:val="0"/>
                    <w:rPr>
                      <w:rFonts w:hint="default" w:ascii="Times New Roman" w:hAnsi="Times New Roman" w:cs="Times New Roman"/>
                      <w:b w:val="0"/>
                      <w:bC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87"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4</w:t>
                  </w:r>
                </w:p>
              </w:tc>
              <w:tc>
                <w:tcPr>
                  <w:tcW w:w="1207"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分子筛、分子筛架</w:t>
                  </w:r>
                </w:p>
              </w:tc>
              <w:tc>
                <w:tcPr>
                  <w:tcW w:w="112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eastAsia="zh-CN"/>
                    </w:rPr>
                    <w:t>300</w:t>
                  </w:r>
                  <w:r>
                    <w:rPr>
                      <w:rFonts w:hint="default" w:ascii="Times New Roman" w:hAnsi="Times New Roman" w:cs="Times New Roman"/>
                      <w:b w:val="0"/>
                      <w:bCs/>
                    </w:rPr>
                    <w:t>t</w:t>
                  </w:r>
                </w:p>
              </w:tc>
              <w:tc>
                <w:tcPr>
                  <w:tcW w:w="1175" w:type="pct"/>
                  <w:vMerge w:val="continue"/>
                  <w:tcBorders>
                    <w:top w:val="nil"/>
                  </w:tcBorders>
                  <w:noWrap w:val="0"/>
                  <w:vAlign w:val="center"/>
                </w:tcPr>
                <w:p>
                  <w:pPr>
                    <w:pStyle w:val="45"/>
                    <w:bidi w:val="0"/>
                    <w:rPr>
                      <w:rFonts w:hint="default" w:ascii="Times New Roman" w:hAnsi="Times New Roman" w:cs="Times New Roman"/>
                      <w:b w:val="0"/>
                      <w:bCs/>
                    </w:rPr>
                  </w:pPr>
                </w:p>
              </w:tc>
              <w:tc>
                <w:tcPr>
                  <w:tcW w:w="1003" w:type="pct"/>
                  <w:vMerge w:val="continue"/>
                  <w:tcBorders>
                    <w:top w:val="nil"/>
                    <w:bottom w:val="nil"/>
                  </w:tcBorders>
                  <w:noWrap w:val="0"/>
                  <w:vAlign w:val="center"/>
                </w:tcPr>
                <w:p>
                  <w:pPr>
                    <w:pStyle w:val="45"/>
                    <w:bidi w:val="0"/>
                    <w:rPr>
                      <w:rFonts w:hint="default" w:ascii="Times New Roman" w:hAnsi="Times New Roman" w:cs="Times New Roman"/>
                      <w:b w:val="0"/>
                      <w:bC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87"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5</w:t>
                  </w:r>
                </w:p>
              </w:tc>
              <w:tc>
                <w:tcPr>
                  <w:tcW w:w="1207"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标签</w:t>
                  </w:r>
                </w:p>
              </w:tc>
              <w:tc>
                <w:tcPr>
                  <w:tcW w:w="112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eastAsia="zh-CN"/>
                    </w:rPr>
                    <w:t>20</w:t>
                  </w:r>
                  <w:r>
                    <w:rPr>
                      <w:rFonts w:hint="default" w:ascii="Times New Roman" w:hAnsi="Times New Roman" w:cs="Times New Roman"/>
                      <w:b w:val="0"/>
                      <w:bCs/>
                    </w:rPr>
                    <w:t>万张</w:t>
                  </w:r>
                </w:p>
              </w:tc>
              <w:tc>
                <w:tcPr>
                  <w:tcW w:w="117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w:t>
                  </w:r>
                </w:p>
              </w:tc>
              <w:tc>
                <w:tcPr>
                  <w:tcW w:w="1003" w:type="pct"/>
                  <w:vMerge w:val="continue"/>
                  <w:tcBorders>
                    <w:top w:val="nil"/>
                    <w:bottom w:val="nil"/>
                  </w:tcBorders>
                  <w:noWrap w:val="0"/>
                  <w:vAlign w:val="center"/>
                </w:tcPr>
                <w:p>
                  <w:pPr>
                    <w:pStyle w:val="45"/>
                    <w:bidi w:val="0"/>
                    <w:rPr>
                      <w:rFonts w:hint="default" w:ascii="Times New Roman" w:hAnsi="Times New Roman" w:cs="Times New Roman"/>
                      <w:b w:val="0"/>
                      <w:bC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87"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6</w:t>
                  </w:r>
                </w:p>
              </w:tc>
              <w:tc>
                <w:tcPr>
                  <w:tcW w:w="1207"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铝间隔条</w:t>
                  </w:r>
                </w:p>
              </w:tc>
              <w:tc>
                <w:tcPr>
                  <w:tcW w:w="112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eastAsia="zh-CN"/>
                    </w:rPr>
                    <w:t>30</w:t>
                  </w:r>
                  <w:r>
                    <w:rPr>
                      <w:rFonts w:hint="default" w:ascii="Times New Roman" w:hAnsi="Times New Roman" w:cs="Times New Roman"/>
                      <w:b w:val="0"/>
                      <w:bCs/>
                    </w:rPr>
                    <w:t>t</w:t>
                  </w:r>
                </w:p>
              </w:tc>
              <w:tc>
                <w:tcPr>
                  <w:tcW w:w="1175"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生产中空玻璃</w:t>
                  </w:r>
                </w:p>
              </w:tc>
              <w:tc>
                <w:tcPr>
                  <w:tcW w:w="1003" w:type="pct"/>
                  <w:vMerge w:val="continue"/>
                  <w:tcBorders>
                    <w:top w:val="nil"/>
                  </w:tcBorders>
                  <w:noWrap w:val="0"/>
                  <w:vAlign w:val="center"/>
                </w:tcPr>
                <w:p>
                  <w:pPr>
                    <w:pStyle w:val="45"/>
                    <w:bidi w:val="0"/>
                    <w:rPr>
                      <w:rFonts w:hint="default" w:ascii="Times New Roman" w:hAnsi="Times New Roman" w:cs="Times New Roman"/>
                      <w:b w:val="0"/>
                      <w:bCs/>
                    </w:rPr>
                  </w:pPr>
                </w:p>
              </w:tc>
            </w:tr>
          </w:tbl>
          <w:p>
            <w:pPr>
              <w:bidi w:val="0"/>
              <w:rPr>
                <w:rFonts w:hint="default" w:ascii="Times New Roman" w:hAnsi="Times New Roman" w:cs="Times New Roman"/>
                <w:b/>
                <w:bCs/>
              </w:rPr>
            </w:pPr>
            <w:r>
              <w:rPr>
                <w:rFonts w:hint="default" w:ascii="Times New Roman" w:hAnsi="Times New Roman" w:cs="Times New Roman"/>
                <w:b/>
                <w:bCs/>
              </w:rPr>
              <w:t>（2）原辅料理化性质</w:t>
            </w:r>
          </w:p>
          <w:p>
            <w:pPr>
              <w:bidi w:val="0"/>
              <w:rPr>
                <w:rFonts w:hint="default" w:ascii="Times New Roman" w:hAnsi="Times New Roman" w:cs="Times New Roman"/>
                <w:b/>
                <w:bCs/>
              </w:rPr>
            </w:pPr>
            <w:r>
              <w:rPr>
                <w:rFonts w:hint="default" w:ascii="Times New Roman" w:hAnsi="Times New Roman" w:cs="Times New Roman"/>
                <w:b/>
                <w:bCs/>
              </w:rPr>
              <w:t>原辅性能及理化性质：</w:t>
            </w:r>
          </w:p>
          <w:p>
            <w:pPr>
              <w:bidi w:val="0"/>
              <w:rPr>
                <w:rFonts w:hint="default" w:ascii="Times New Roman" w:hAnsi="Times New Roman" w:cs="Times New Roman"/>
              </w:rPr>
            </w:pPr>
            <w:r>
              <w:rPr>
                <w:rFonts w:hint="default" w:ascii="Times New Roman" w:hAnsi="Times New Roman" w:cs="Times New Roman"/>
              </w:rPr>
              <w:t>①双组份硅酮结构密封胶：主要成分固化剂、基胶；外观性状：黑色粘性固体，气味：稍有气味，溶解性：难溶于水，易燃性：不易燃；急性毒性:碳酸钙：大鼠口服毒性LD50：6450mg/kg，碳黑：LD50：经口-大鼠-雄性和雌性</w:t>
            </w:r>
            <w:r>
              <w:rPr>
                <w:rFonts w:hint="default" w:ascii="Times New Roman" w:hAnsi="Times New Roman" w:cs="Times New Roman"/>
                <w:lang w:val="en-US" w:eastAsia="zh-CN"/>
              </w:rPr>
              <w:t>≥</w:t>
            </w:r>
            <w:r>
              <w:rPr>
                <w:rFonts w:hint="default" w:ascii="Times New Roman" w:hAnsi="Times New Roman" w:cs="Times New Roman"/>
              </w:rPr>
              <w:t>8000mg/kg；致癌性，IARC：2B-2B：对人类是可能致癌物(炭黑)；特异性靶器官毒性反复接触：长期或重复接触可能会对器官造成损伤(呼吸系统)；</w:t>
            </w:r>
          </w:p>
          <w:p>
            <w:pPr>
              <w:bidi w:val="0"/>
              <w:rPr>
                <w:rFonts w:hint="default" w:ascii="Times New Roman" w:hAnsi="Times New Roman" w:cs="Times New Roman"/>
              </w:rPr>
            </w:pPr>
            <w:r>
              <w:rPr>
                <w:rFonts w:hint="default" w:ascii="Times New Roman" w:hAnsi="Times New Roman" w:cs="Times New Roman"/>
              </w:rPr>
              <w:t>双组份硅酮结构密封胶是一种具有优异的粘结性能、良好的弹性、耐气候老化、耐紫外线、耐臭氧、耐水等的密封胶。双组份硅酮结构密封胶还具有突出的高强度、高延伸性等力学性能，在结构装配中承受以结构强度为主要功能的弹性粘结，起到结构粘结的作用。</w:t>
            </w:r>
          </w:p>
          <w:p>
            <w:pPr>
              <w:bidi w:val="0"/>
              <w:rPr>
                <w:rFonts w:hint="default" w:ascii="Times New Roman" w:hAnsi="Times New Roman" w:cs="Times New Roman"/>
              </w:rPr>
            </w:pPr>
            <w:r>
              <w:rPr>
                <w:rFonts w:hint="default" w:ascii="Times New Roman" w:hAnsi="Times New Roman" w:cs="Times New Roman"/>
              </w:rPr>
              <w:t>双组份硅酮结构密封胶一般有A和B两个组份，本项目购买已经混合的成品胶，将胶注入用胶部位。双组份硅酮结构密封胶的固化速度可以在一定范围内调节，达到满意的固化效果。双组份硅酮结构密封胶具有固化速度快、施工效率高的优点，因此广泛用于中空玻璃的二道粘结密封等，闪点：310℃</w:t>
            </w:r>
            <w:r>
              <w:rPr>
                <w:rFonts w:hint="default" w:ascii="Times New Roman" w:hAnsi="Times New Roman" w:cs="Times New Roman"/>
                <w:lang w:eastAsia="zh-CN"/>
              </w:rPr>
              <w:t>，</w:t>
            </w:r>
            <w:r>
              <w:rPr>
                <w:rFonts w:hint="default" w:ascii="Times New Roman" w:hAnsi="Times New Roman" w:cs="Times New Roman"/>
              </w:rPr>
              <w:t>溶解性：不溶于水，易燃性：不易燃。</w:t>
            </w:r>
          </w:p>
          <w:p>
            <w:pPr>
              <w:bidi w:val="0"/>
              <w:rPr>
                <w:rFonts w:hint="default" w:ascii="Times New Roman" w:hAnsi="Times New Roman" w:cs="Times New Roman"/>
              </w:rPr>
            </w:pPr>
            <w:r>
              <w:rPr>
                <w:rFonts w:hint="default" w:ascii="Times New Roman" w:hAnsi="Times New Roman" w:cs="Times New Roman"/>
              </w:rPr>
              <w:t>②丁基胶：主要成分为聚异丁烯50~60%、碳酸钙20~30%、丁基橡胶10~20%；外观性状：黑色粘性固体，气味：稍有气味，溶解性：难溶于水，易燃性：不易燃；急性毒性:碳酸钙:大鼠口服毒性LD50:6450mg/kg，碳黑：LD50：经口-大鼠-雄性和雌性</w:t>
            </w:r>
            <w:r>
              <w:rPr>
                <w:rFonts w:hint="default" w:ascii="Times New Roman" w:hAnsi="Times New Roman" w:cs="Times New Roman"/>
                <w:lang w:val="en-US" w:eastAsia="zh-CN"/>
              </w:rPr>
              <w:t>≥</w:t>
            </w:r>
            <w:r>
              <w:rPr>
                <w:rFonts w:hint="default" w:ascii="Times New Roman" w:hAnsi="Times New Roman" w:cs="Times New Roman"/>
              </w:rPr>
              <w:t>8000mg/kg；致癌性，IARC:2B-2B:对人类是可能致癌物(炭黑)；特异性靶器官毒性反复接触：长期或重复接触可能会对器官造成损伤(呼吸系统)；根据《合成橡胶工业手册（第二版）》（化学工业出版社，2006年），丁基胶是一种以聚异丁烯橡胶为基料的单组份、无溶剂、不出雾、不硫化、具有永久塑性的中空玻璃第一道密封剂。热熔丁基密封胶在较宽温度范围内（300℃以下）保持其塑性和密封性。聚异丁烯热稳定性好，可在140-200℃下加工，分子量基本不变。当加工温度为120-150℃时，断链降解可以减少到最小程度。但是，在高于300℃时，受到机械剪切、辐射或在有机过氧化物作用下，高分子量聚异丁烯能够发生降解或解聚，导致平均分子量降低，其中氧化反应最为突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③分子筛：中空玻璃分子筛可以同时吸附中空玻璃中的水分和残留有机物，使中空玻璃即使在很低温度下仍然保持光洁透明，同时能充分降低中空玻璃因季节和昼夜温差的巨大变化所承受的强大内外压力差，中空玻璃分子筛也解决了中空玻璃膨胀或收缩而导致的扭曲破碎问题，延长中空玻璃的使用寿命。</w:t>
            </w:r>
          </w:p>
          <w:p>
            <w:pPr>
              <w:bidi w:val="0"/>
              <w:rPr>
                <w:rFonts w:hint="default" w:ascii="Times New Roman" w:hAnsi="Times New Roman" w:cs="Times New Roman"/>
                <w:b/>
                <w:bCs/>
              </w:rPr>
            </w:pPr>
            <w:r>
              <w:rPr>
                <w:rFonts w:hint="default" w:ascii="Times New Roman" w:hAnsi="Times New Roman" w:cs="Times New Roman"/>
                <w:b/>
                <w:bCs/>
              </w:rPr>
              <w:t>4、生产设备</w:t>
            </w:r>
          </w:p>
          <w:p>
            <w:pPr>
              <w:pStyle w:val="36"/>
              <w:bidi w:val="0"/>
              <w:rPr>
                <w:rFonts w:hint="default" w:ascii="Times New Roman" w:hAnsi="Times New Roman" w:cs="Times New Roman"/>
              </w:rPr>
            </w:pPr>
            <w:r>
              <w:rPr>
                <w:rFonts w:hint="default" w:ascii="Times New Roman" w:hAnsi="Times New Roman" w:cs="Times New Roman"/>
              </w:rPr>
              <w:t>表2-</w:t>
            </w:r>
            <w:r>
              <w:rPr>
                <w:rFonts w:hint="default" w:ascii="Times New Roman" w:hAnsi="Times New Roman" w:cs="Times New Roman"/>
                <w:lang w:val="en-US" w:eastAsia="zh-CN"/>
              </w:rPr>
              <w:t>4</w:t>
            </w:r>
            <w:r>
              <w:rPr>
                <w:rFonts w:hint="default" w:ascii="Times New Roman" w:hAnsi="Times New Roman" w:cs="Times New Roman"/>
              </w:rPr>
              <w:t>项目生产设备一览表</w:t>
            </w:r>
          </w:p>
          <w:tbl>
            <w:tblPr>
              <w:tblStyle w:val="98"/>
              <w:tblW w:w="501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0"/>
              <w:gridCol w:w="2008"/>
              <w:gridCol w:w="1858"/>
              <w:gridCol w:w="976"/>
              <w:gridCol w:w="849"/>
              <w:gridCol w:w="15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434"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序号</w:t>
                  </w:r>
                </w:p>
              </w:tc>
              <w:tc>
                <w:tcPr>
                  <w:tcW w:w="1261"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设备名称</w:t>
                  </w:r>
                </w:p>
              </w:tc>
              <w:tc>
                <w:tcPr>
                  <w:tcW w:w="1167"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型号</w:t>
                  </w:r>
                </w:p>
              </w:tc>
              <w:tc>
                <w:tcPr>
                  <w:tcW w:w="613"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单位</w:t>
                  </w:r>
                </w:p>
              </w:tc>
              <w:tc>
                <w:tcPr>
                  <w:tcW w:w="533"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数量</w:t>
                  </w:r>
                </w:p>
              </w:tc>
              <w:tc>
                <w:tcPr>
                  <w:tcW w:w="989"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434"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1</w:t>
                  </w:r>
                </w:p>
              </w:tc>
              <w:tc>
                <w:tcPr>
                  <w:tcW w:w="1261"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中空大线</w:t>
                  </w:r>
                </w:p>
              </w:tc>
              <w:tc>
                <w:tcPr>
                  <w:tcW w:w="1167"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TE-3LR-2500</w:t>
                  </w:r>
                </w:p>
              </w:tc>
              <w:tc>
                <w:tcPr>
                  <w:tcW w:w="613"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台</w:t>
                  </w:r>
                </w:p>
              </w:tc>
              <w:tc>
                <w:tcPr>
                  <w:tcW w:w="533"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7</w:t>
                  </w:r>
                </w:p>
              </w:tc>
              <w:tc>
                <w:tcPr>
                  <w:tcW w:w="989"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434"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2</w:t>
                  </w:r>
                </w:p>
              </w:tc>
              <w:tc>
                <w:tcPr>
                  <w:tcW w:w="1261"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行车</w:t>
                  </w:r>
                </w:p>
              </w:tc>
              <w:tc>
                <w:tcPr>
                  <w:tcW w:w="1167"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LD10TX9MX19.5m</w:t>
                  </w:r>
                </w:p>
              </w:tc>
              <w:tc>
                <w:tcPr>
                  <w:tcW w:w="613"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台</w:t>
                  </w:r>
                </w:p>
              </w:tc>
              <w:tc>
                <w:tcPr>
                  <w:tcW w:w="533"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2</w:t>
                  </w:r>
                </w:p>
              </w:tc>
              <w:tc>
                <w:tcPr>
                  <w:tcW w:w="989"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434"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3</w:t>
                  </w:r>
                </w:p>
              </w:tc>
              <w:tc>
                <w:tcPr>
                  <w:tcW w:w="1261"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丁基胶涂布机</w:t>
                  </w:r>
                </w:p>
              </w:tc>
              <w:tc>
                <w:tcPr>
                  <w:tcW w:w="1167"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JT02</w:t>
                  </w:r>
                </w:p>
              </w:tc>
              <w:tc>
                <w:tcPr>
                  <w:tcW w:w="613"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台</w:t>
                  </w:r>
                </w:p>
              </w:tc>
              <w:tc>
                <w:tcPr>
                  <w:tcW w:w="533"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7</w:t>
                  </w:r>
                </w:p>
              </w:tc>
              <w:tc>
                <w:tcPr>
                  <w:tcW w:w="989"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434"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4</w:t>
                  </w:r>
                </w:p>
              </w:tc>
              <w:tc>
                <w:tcPr>
                  <w:tcW w:w="1261"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自动弯管机</w:t>
                  </w:r>
                </w:p>
              </w:tc>
              <w:tc>
                <w:tcPr>
                  <w:tcW w:w="1167"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DW63</w:t>
                  </w:r>
                </w:p>
              </w:tc>
              <w:tc>
                <w:tcPr>
                  <w:tcW w:w="613"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台</w:t>
                  </w:r>
                </w:p>
              </w:tc>
              <w:tc>
                <w:tcPr>
                  <w:tcW w:w="533"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w:t>
                  </w:r>
                </w:p>
              </w:tc>
              <w:tc>
                <w:tcPr>
                  <w:tcW w:w="989"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434"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5</w:t>
                  </w:r>
                </w:p>
              </w:tc>
              <w:tc>
                <w:tcPr>
                  <w:tcW w:w="1261"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分子筛灌装机</w:t>
                  </w:r>
                </w:p>
              </w:tc>
              <w:tc>
                <w:tcPr>
                  <w:tcW w:w="1167"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ZFJ03</w:t>
                  </w:r>
                </w:p>
              </w:tc>
              <w:tc>
                <w:tcPr>
                  <w:tcW w:w="613"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台</w:t>
                  </w:r>
                </w:p>
              </w:tc>
              <w:tc>
                <w:tcPr>
                  <w:tcW w:w="533"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w:t>
                  </w:r>
                </w:p>
              </w:tc>
              <w:tc>
                <w:tcPr>
                  <w:tcW w:w="989"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434"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6</w:t>
                  </w:r>
                </w:p>
              </w:tc>
              <w:tc>
                <w:tcPr>
                  <w:tcW w:w="1261"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空压机</w:t>
                  </w:r>
                </w:p>
              </w:tc>
              <w:tc>
                <w:tcPr>
                  <w:tcW w:w="1167"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w:t>
                  </w:r>
                </w:p>
              </w:tc>
              <w:tc>
                <w:tcPr>
                  <w:tcW w:w="613"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台</w:t>
                  </w:r>
                </w:p>
              </w:tc>
              <w:tc>
                <w:tcPr>
                  <w:tcW w:w="533" w:type="pct"/>
                  <w:noWrap w:val="0"/>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2</w:t>
                  </w:r>
                </w:p>
              </w:tc>
              <w:tc>
                <w:tcPr>
                  <w:tcW w:w="989" w:type="pct"/>
                  <w:noWrap w:val="0"/>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一备一用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434" w:type="pct"/>
                  <w:noWrap w:val="0"/>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7</w:t>
                  </w:r>
                </w:p>
              </w:tc>
              <w:tc>
                <w:tcPr>
                  <w:tcW w:w="1261"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打包机</w:t>
                  </w:r>
                </w:p>
              </w:tc>
              <w:tc>
                <w:tcPr>
                  <w:tcW w:w="1167"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w:t>
                  </w:r>
                </w:p>
              </w:tc>
              <w:tc>
                <w:tcPr>
                  <w:tcW w:w="613"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台</w:t>
                  </w:r>
                </w:p>
              </w:tc>
              <w:tc>
                <w:tcPr>
                  <w:tcW w:w="533"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w:t>
                  </w:r>
                </w:p>
              </w:tc>
              <w:tc>
                <w:tcPr>
                  <w:tcW w:w="989" w:type="pct"/>
                  <w:noWrap w:val="0"/>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外购</w:t>
                  </w:r>
                </w:p>
              </w:tc>
            </w:tr>
          </w:tbl>
          <w:p>
            <w:pPr>
              <w:bidi w:val="0"/>
              <w:rPr>
                <w:rFonts w:hint="default" w:ascii="Times New Roman" w:hAnsi="Times New Roman" w:cs="Times New Roman"/>
                <w:b/>
                <w:bCs/>
              </w:rPr>
            </w:pPr>
            <w:r>
              <w:rPr>
                <w:rFonts w:hint="default" w:ascii="Times New Roman" w:hAnsi="Times New Roman" w:cs="Times New Roman"/>
                <w:b/>
                <w:bCs/>
              </w:rPr>
              <w:t>5、总平面布置</w:t>
            </w:r>
          </w:p>
          <w:p>
            <w:pPr>
              <w:bidi w:val="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本项目位于云南省玉溪市澄江市龙街街道办事处提古社区提古一组（云南鑫成鹏高分子科技有限公司3号厂房内），本项目区内设置厂房、宿舍楼、场地及相关配套设施进行生产建设，项目总占地面积约6.15亩，总建筑面积约4100</w:t>
            </w:r>
            <w:r>
              <w:rPr>
                <w:rFonts w:hint="default" w:ascii="Times New Roman" w:hAnsi="Times New Roman" w:cs="Times New Roman" w:eastAsiaTheme="minorEastAsia"/>
                <w:color w:val="auto"/>
                <w:szCs w:val="21"/>
                <w:lang w:eastAsia="zh-CN"/>
              </w:rPr>
              <w:t>㎡</w:t>
            </w:r>
            <w:r>
              <w:rPr>
                <w:rFonts w:hint="default" w:ascii="Times New Roman" w:hAnsi="Times New Roman" w:cs="Times New Roman" w:eastAsiaTheme="minorEastAsia"/>
                <w:color w:val="auto"/>
                <w:szCs w:val="21"/>
              </w:rPr>
              <w:t>，项目区各建筑物、道路等的布局已形成。从整个厂区的平面布置图来看，项目区出入口位于项目南侧，紧接项目区外道路，便于原料的运入及产品的运出，生产区设置于项目西侧，办公区位于项目区北侧。</w:t>
            </w:r>
          </w:p>
          <w:p>
            <w:pPr>
              <w:adjustRightInd w:val="0"/>
              <w:snapToGrid w:val="0"/>
              <w:spacing w:line="360" w:lineRule="auto"/>
              <w:ind w:firstLine="48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项目总平面布置详见附图3。</w:t>
            </w:r>
          </w:p>
          <w:p>
            <w:pPr>
              <w:spacing w:line="360" w:lineRule="auto"/>
              <w:ind w:firstLine="498" w:firstLineChars="200"/>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pacing w:val="4"/>
                <w:szCs w:val="21"/>
              </w:rPr>
              <w:t>6</w:t>
            </w:r>
            <w:r>
              <w:rPr>
                <w:rFonts w:hint="default" w:ascii="Times New Roman" w:hAnsi="Times New Roman" w:cs="Times New Roman" w:eastAsiaTheme="minorEastAsia"/>
                <w:b/>
                <w:bCs/>
                <w:color w:val="auto"/>
                <w:spacing w:val="2"/>
                <w:szCs w:val="21"/>
              </w:rPr>
              <w:t>、公用及配套工程</w:t>
            </w:r>
          </w:p>
          <w:p>
            <w:pPr>
              <w:spacing w:line="360" w:lineRule="auto"/>
              <w:ind w:firstLine="482" w:firstLineChars="200"/>
              <w:rPr>
                <w:rFonts w:hint="default" w:ascii="Times New Roman" w:hAnsi="Times New Roman" w:cs="Times New Roman" w:eastAsiaTheme="minorEastAsia"/>
                <w:b/>
                <w:bCs/>
                <w:color w:val="auto"/>
                <w:szCs w:val="21"/>
              </w:rPr>
            </w:pPr>
            <w:r>
              <w:rPr>
                <w:rFonts w:hint="default" w:ascii="Times New Roman" w:hAnsi="Times New Roman" w:cs="Times New Roman"/>
                <w:b/>
                <w:bCs/>
                <w:color w:val="auto"/>
                <w:szCs w:val="21"/>
              </w:rPr>
              <w:t>①</w:t>
            </w:r>
            <w:r>
              <w:rPr>
                <w:rFonts w:hint="default" w:ascii="Times New Roman" w:hAnsi="Times New Roman" w:cs="Times New Roman" w:eastAsiaTheme="minorEastAsia"/>
                <w:b/>
                <w:bCs/>
                <w:color w:val="auto"/>
                <w:szCs w:val="21"/>
              </w:rPr>
              <w:t>给排水系统</w:t>
            </w:r>
          </w:p>
          <w:p>
            <w:pPr>
              <w:spacing w:line="360" w:lineRule="auto"/>
              <w:ind w:firstLine="482" w:firstLineChars="200"/>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给水：由市政自来水管网供给。</w:t>
            </w:r>
          </w:p>
          <w:p>
            <w:pPr>
              <w:spacing w:line="360" w:lineRule="auto"/>
              <w:ind w:firstLine="482" w:firstLineChars="200"/>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排水：项目区内实行雨污分流排水制度。</w:t>
            </w:r>
          </w:p>
          <w:p>
            <w:pPr>
              <w:spacing w:line="360" w:lineRule="auto"/>
              <w:ind w:firstLine="518" w:firstLineChars="200"/>
              <w:rPr>
                <w:rFonts w:hint="default" w:ascii="Times New Roman" w:hAnsi="Times New Roman" w:cs="Times New Roman"/>
                <w:b/>
                <w:bCs/>
                <w:color w:val="auto"/>
                <w:spacing w:val="9"/>
                <w:szCs w:val="21"/>
                <w:lang w:val="en-US" w:eastAsia="zh-CN"/>
              </w:rPr>
            </w:pPr>
            <w:r>
              <w:rPr>
                <w:rFonts w:hint="default" w:ascii="Times New Roman" w:hAnsi="Times New Roman" w:cs="Times New Roman"/>
                <w:b/>
                <w:bCs/>
                <w:color w:val="auto"/>
                <w:spacing w:val="9"/>
                <w:szCs w:val="21"/>
                <w:lang w:val="en-US" w:eastAsia="zh-CN"/>
              </w:rPr>
              <w:t>本项目排水分为近期及远期排水。</w:t>
            </w:r>
          </w:p>
          <w:p>
            <w:pPr>
              <w:spacing w:line="360" w:lineRule="auto"/>
              <w:ind w:firstLine="422" w:firstLineChars="200"/>
              <w:rPr>
                <w:rFonts w:hint="default" w:ascii="Times New Roman" w:hAnsi="Times New Roman" w:eastAsia="宋体" w:cs="Times New Roman"/>
                <w:color w:val="auto"/>
                <w:spacing w:val="9"/>
                <w:szCs w:val="21"/>
                <w:lang w:val="en-US" w:eastAsia="zh-CN"/>
              </w:rPr>
            </w:pPr>
            <w:r>
              <w:rPr>
                <w:rFonts w:hint="default" w:ascii="Times New Roman" w:hAnsi="Times New Roman" w:cs="Times New Roman"/>
                <w:b/>
                <w:bCs/>
                <w:color w:val="auto"/>
                <w:sz w:val="21"/>
                <w:szCs w:val="21"/>
              </w:rPr>
              <w:t>近期排水体制</w:t>
            </w:r>
            <w:r>
              <w:rPr>
                <w:rFonts w:hint="default" w:ascii="Times New Roman" w:hAnsi="Times New Roman" w:cs="Times New Roman"/>
                <w:b/>
                <w:bCs/>
                <w:color w:val="auto"/>
                <w:sz w:val="21"/>
                <w:szCs w:val="21"/>
                <w:lang w:eastAsia="zh-CN"/>
              </w:rPr>
              <w:t>，雨水：</w:t>
            </w:r>
            <w:r>
              <w:rPr>
                <w:rFonts w:hint="default" w:ascii="Times New Roman" w:hAnsi="Times New Roman" w:cs="Times New Roman"/>
                <w:color w:val="auto"/>
                <w:sz w:val="21"/>
                <w:szCs w:val="21"/>
                <w:lang w:eastAsia="zh-CN"/>
              </w:rPr>
              <w:t>雨水排入依托云南鑫成鹏高分子科技有限公司已建设的雨水沟排入提古工业园区雨水管网，</w:t>
            </w:r>
            <w:r>
              <w:rPr>
                <w:rFonts w:hint="default" w:ascii="Times New Roman" w:hAnsi="Times New Roman" w:cs="Times New Roman"/>
                <w:b/>
                <w:bCs/>
                <w:color w:val="auto"/>
                <w:sz w:val="21"/>
                <w:szCs w:val="21"/>
                <w:lang w:eastAsia="zh-CN"/>
              </w:rPr>
              <w:t>污水：</w:t>
            </w:r>
            <w:r>
              <w:rPr>
                <w:rFonts w:hint="default" w:ascii="Times New Roman" w:hAnsi="Times New Roman" w:cs="Times New Roman"/>
                <w:color w:val="auto"/>
                <w:sz w:val="21"/>
                <w:szCs w:val="21"/>
                <w:lang w:eastAsia="zh-CN"/>
              </w:rPr>
              <w:t>食堂废水经</w:t>
            </w:r>
            <w:r>
              <w:rPr>
                <w:rFonts w:hint="eastAsia" w:cs="Times New Roman"/>
                <w:color w:val="auto"/>
                <w:sz w:val="21"/>
                <w:szCs w:val="21"/>
                <w:lang w:eastAsia="zh-CN"/>
              </w:rPr>
              <w:t>油水分离器</w:t>
            </w:r>
            <w:r>
              <w:rPr>
                <w:rFonts w:hint="default" w:ascii="Times New Roman" w:hAnsi="Times New Roman" w:cs="Times New Roman"/>
                <w:color w:val="auto"/>
                <w:sz w:val="21"/>
                <w:szCs w:val="21"/>
                <w:lang w:eastAsia="zh-CN"/>
              </w:rPr>
              <w:t>处理后与其他生活污水一起排入依托云南鑫成鹏高分子科技有限公司</w:t>
            </w:r>
            <w:r>
              <w:rPr>
                <w:rFonts w:hint="default" w:ascii="Times New Roman" w:hAnsi="Times New Roman" w:cs="Times New Roman"/>
                <w:color w:val="auto"/>
                <w:sz w:val="21"/>
                <w:szCs w:val="21"/>
                <w:lang w:val="en-US" w:eastAsia="zh-CN"/>
              </w:rPr>
              <w:t>3号</w:t>
            </w:r>
            <w:r>
              <w:rPr>
                <w:rFonts w:hint="default" w:ascii="Times New Roman" w:hAnsi="Times New Roman" w:cs="Times New Roman"/>
                <w:color w:val="auto"/>
                <w:sz w:val="21"/>
                <w:szCs w:val="21"/>
                <w:lang w:eastAsia="zh-CN"/>
              </w:rPr>
              <w:t>厂房的化粪池处理后，最终进入云南鑫成鹏高分子科技有限公司自建的一体化污水处理设施处理达标后晴天回用于云南鑫成鹏高分子科技有限公司的绿化及道路洒水降尘定期更换清洗废水定期更换清洗废水，不外排，雨天暂存于回用水池。项目的主要生产用水为中空玻璃的清洗用水（不添加任何清洗剂）清洗废水流入机器自带的沉淀槽经静置沉淀后，清洗水循环回用定期更换清洗废水，不外排。</w:t>
            </w:r>
          </w:p>
          <w:p>
            <w:pPr>
              <w:spacing w:line="360" w:lineRule="auto"/>
              <w:ind w:firstLine="422" w:firstLineChars="200"/>
              <w:rPr>
                <w:rFonts w:hint="default" w:ascii="Times New Roman" w:hAnsi="Times New Roman" w:eastAsia="宋体" w:cs="Times New Roman"/>
                <w:color w:val="auto"/>
                <w:spacing w:val="9"/>
                <w:szCs w:val="21"/>
                <w:lang w:val="en-US" w:eastAsia="zh-CN"/>
              </w:rPr>
            </w:pPr>
            <w:r>
              <w:rPr>
                <w:rFonts w:hint="default" w:ascii="Times New Roman" w:hAnsi="Times New Roman" w:cs="Times New Roman"/>
                <w:b/>
                <w:bCs/>
                <w:color w:val="auto"/>
                <w:sz w:val="21"/>
                <w:szCs w:val="21"/>
                <w:lang w:val="en-US" w:eastAsia="zh-CN"/>
              </w:rPr>
              <w:t>远期</w:t>
            </w:r>
            <w:r>
              <w:rPr>
                <w:rFonts w:hint="default" w:ascii="Times New Roman" w:hAnsi="Times New Roman" w:cs="Times New Roman"/>
                <w:b/>
                <w:bCs/>
                <w:color w:val="auto"/>
                <w:sz w:val="21"/>
                <w:szCs w:val="21"/>
              </w:rPr>
              <w:t>排水体制</w:t>
            </w:r>
            <w:r>
              <w:rPr>
                <w:rFonts w:hint="default" w:ascii="Times New Roman" w:hAnsi="Times New Roman" w:cs="Times New Roman"/>
                <w:b/>
                <w:bCs/>
                <w:color w:val="auto"/>
                <w:sz w:val="21"/>
                <w:szCs w:val="21"/>
                <w:lang w:eastAsia="zh-CN"/>
              </w:rPr>
              <w:t>，雨水：</w:t>
            </w:r>
            <w:r>
              <w:rPr>
                <w:rFonts w:hint="default" w:ascii="Times New Roman" w:hAnsi="Times New Roman" w:cs="Times New Roman"/>
                <w:color w:val="auto"/>
                <w:sz w:val="21"/>
                <w:szCs w:val="21"/>
                <w:lang w:eastAsia="zh-CN"/>
              </w:rPr>
              <w:t>雨水排入依托云南鑫成鹏高分子科技有限公司已建设的雨水沟排入提古工业园区雨水管网，</w:t>
            </w:r>
            <w:r>
              <w:rPr>
                <w:rFonts w:hint="default" w:ascii="Times New Roman" w:hAnsi="Times New Roman" w:cs="Times New Roman"/>
                <w:b/>
                <w:bCs/>
                <w:color w:val="auto"/>
                <w:sz w:val="21"/>
                <w:szCs w:val="21"/>
                <w:lang w:eastAsia="zh-CN"/>
              </w:rPr>
              <w:t>污水：</w:t>
            </w:r>
            <w:r>
              <w:rPr>
                <w:rFonts w:hint="default" w:ascii="Times New Roman" w:hAnsi="Times New Roman" w:cs="Times New Roman"/>
                <w:color w:val="auto"/>
                <w:sz w:val="21"/>
                <w:szCs w:val="21"/>
                <w:lang w:eastAsia="zh-CN"/>
              </w:rPr>
              <w:t>食堂含油废水经隔油处理后与经化粪池处理后的生活污水一起排入园区污水管网，最后进入园区污水处理厂。项目的主要生产用水为中空玻璃的清洗用水（不添加任何清洗剂）清洗废水流入机器自带的沉淀槽经静置沉淀后，清洗水循环回用定期更换清洗废水，不外排。</w:t>
            </w:r>
          </w:p>
          <w:p>
            <w:pPr>
              <w:spacing w:line="360" w:lineRule="auto"/>
              <w:ind w:firstLine="518" w:firstLineChars="200"/>
              <w:rPr>
                <w:rFonts w:hint="default" w:ascii="Times New Roman" w:hAnsi="Times New Roman" w:cs="Times New Roman" w:eastAsiaTheme="minorEastAsia"/>
                <w:b/>
                <w:bCs/>
                <w:color w:val="auto"/>
                <w:szCs w:val="21"/>
              </w:rPr>
            </w:pPr>
            <w:r>
              <w:rPr>
                <w:rFonts w:hint="default" w:ascii="Times New Roman" w:hAnsi="Times New Roman" w:cs="Times New Roman"/>
                <w:b/>
                <w:bCs/>
                <w:color w:val="auto"/>
                <w:spacing w:val="9"/>
                <w:szCs w:val="21"/>
              </w:rPr>
              <w:t>②</w:t>
            </w:r>
            <w:r>
              <w:rPr>
                <w:rFonts w:hint="default" w:ascii="Times New Roman" w:hAnsi="Times New Roman" w:cs="Times New Roman" w:eastAsiaTheme="minorEastAsia"/>
                <w:b/>
                <w:bCs/>
                <w:color w:val="auto"/>
                <w:spacing w:val="9"/>
                <w:szCs w:val="21"/>
              </w:rPr>
              <w:t>供电系</w:t>
            </w:r>
            <w:r>
              <w:rPr>
                <w:rFonts w:hint="default" w:ascii="Times New Roman" w:hAnsi="Times New Roman" w:cs="Times New Roman" w:eastAsiaTheme="minorEastAsia"/>
                <w:b/>
                <w:bCs/>
                <w:color w:val="auto"/>
                <w:spacing w:val="8"/>
                <w:szCs w:val="21"/>
              </w:rPr>
              <w:t>统</w:t>
            </w:r>
          </w:p>
          <w:p>
            <w:pPr>
              <w:spacing w:line="360" w:lineRule="auto"/>
              <w:ind w:firstLine="532"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pacing w:val="13"/>
                <w:szCs w:val="21"/>
              </w:rPr>
              <w:t>本</w:t>
            </w:r>
            <w:r>
              <w:rPr>
                <w:rFonts w:hint="default" w:ascii="Times New Roman" w:hAnsi="Times New Roman" w:cs="Times New Roman" w:eastAsiaTheme="minorEastAsia"/>
                <w:color w:val="auto"/>
                <w:spacing w:val="8"/>
                <w:szCs w:val="21"/>
              </w:rPr>
              <w:t>项目供电由市政电网供给。</w:t>
            </w:r>
          </w:p>
          <w:p>
            <w:pPr>
              <w:spacing w:line="360" w:lineRule="auto"/>
              <w:ind w:firstLine="490" w:firstLineChars="200"/>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pacing w:val="2"/>
                <w:szCs w:val="21"/>
              </w:rPr>
              <w:t>7、施工</w:t>
            </w:r>
            <w:r>
              <w:rPr>
                <w:rFonts w:hint="default" w:ascii="Times New Roman" w:hAnsi="Times New Roman" w:cs="Times New Roman" w:eastAsiaTheme="minorEastAsia"/>
                <w:b/>
                <w:bCs/>
                <w:color w:val="auto"/>
                <w:spacing w:val="1"/>
                <w:szCs w:val="21"/>
              </w:rPr>
              <w:t>进度安排</w:t>
            </w:r>
          </w:p>
          <w:p>
            <w:pPr>
              <w:adjustRightInd w:val="0"/>
              <w:snapToGrid w:val="0"/>
              <w:spacing w:line="360" w:lineRule="auto"/>
              <w:ind w:firstLine="512" w:firstLineChars="200"/>
              <w:rPr>
                <w:rFonts w:hint="default" w:ascii="Times New Roman" w:hAnsi="Times New Roman" w:cs="Times New Roman" w:eastAsiaTheme="minorEastAsia"/>
                <w:color w:val="auto"/>
                <w:spacing w:val="8"/>
                <w:szCs w:val="21"/>
              </w:rPr>
            </w:pPr>
            <w:r>
              <w:rPr>
                <w:rFonts w:hint="default" w:ascii="Times New Roman" w:hAnsi="Times New Roman" w:cs="Times New Roman" w:eastAsiaTheme="minorEastAsia"/>
                <w:color w:val="auto"/>
                <w:spacing w:val="8"/>
                <w:szCs w:val="21"/>
              </w:rPr>
              <w:t>项目开发建设时段划分为两个时段，分别为施工期和运营期。</w:t>
            </w:r>
          </w:p>
          <w:p>
            <w:pPr>
              <w:adjustRightInd w:val="0"/>
              <w:snapToGrid w:val="0"/>
              <w:spacing w:line="360" w:lineRule="auto"/>
              <w:ind w:firstLine="512" w:firstLineChars="200"/>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color w:val="auto"/>
                <w:spacing w:val="8"/>
                <w:szCs w:val="21"/>
              </w:rPr>
              <w:t>本项目现还未动工，本项目</w:t>
            </w:r>
            <w:r>
              <w:rPr>
                <w:rFonts w:hint="default" w:ascii="Times New Roman" w:hAnsi="Times New Roman" w:cs="Times New Roman" w:eastAsiaTheme="minorEastAsia"/>
                <w:color w:val="auto"/>
                <w:spacing w:val="2"/>
                <w:szCs w:val="21"/>
              </w:rPr>
              <w:t>建设周期为</w:t>
            </w:r>
            <w:r>
              <w:rPr>
                <w:rFonts w:hint="default" w:ascii="Times New Roman" w:hAnsi="Times New Roman" w:cs="Times New Roman" w:eastAsiaTheme="minorEastAsia"/>
                <w:color w:val="auto"/>
                <w:spacing w:val="2"/>
                <w:szCs w:val="21"/>
                <w:lang w:val="en-US" w:eastAsia="zh-CN"/>
              </w:rPr>
              <w:t>6个月</w:t>
            </w:r>
            <w:r>
              <w:rPr>
                <w:rFonts w:hint="default" w:ascii="Times New Roman" w:hAnsi="Times New Roman" w:cs="Times New Roman" w:eastAsiaTheme="minorEastAsia"/>
                <w:color w:val="auto"/>
                <w:spacing w:val="2"/>
                <w:szCs w:val="21"/>
              </w:rPr>
              <w:t>，计划于20</w:t>
            </w:r>
            <w:r>
              <w:rPr>
                <w:rFonts w:hint="default" w:ascii="Times New Roman" w:hAnsi="Times New Roman" w:cs="Times New Roman" w:eastAsiaTheme="minorEastAsia"/>
                <w:color w:val="auto"/>
                <w:spacing w:val="2"/>
                <w:szCs w:val="21"/>
                <w:lang w:val="en-US" w:eastAsia="zh-CN"/>
              </w:rPr>
              <w:t>24</w:t>
            </w:r>
            <w:r>
              <w:rPr>
                <w:rFonts w:hint="default" w:ascii="Times New Roman" w:hAnsi="Times New Roman" w:cs="Times New Roman" w:eastAsiaTheme="minorEastAsia"/>
                <w:color w:val="auto"/>
                <w:spacing w:val="2"/>
                <w:szCs w:val="21"/>
              </w:rPr>
              <w:t>年</w:t>
            </w:r>
            <w:r>
              <w:rPr>
                <w:rFonts w:hint="default" w:ascii="Times New Roman" w:hAnsi="Times New Roman" w:cs="Times New Roman" w:eastAsiaTheme="minorEastAsia"/>
                <w:color w:val="auto"/>
                <w:spacing w:val="2"/>
                <w:szCs w:val="21"/>
                <w:lang w:val="en-US" w:eastAsia="zh-CN"/>
              </w:rPr>
              <w:t>5</w:t>
            </w:r>
            <w:r>
              <w:rPr>
                <w:rFonts w:hint="default" w:ascii="Times New Roman" w:hAnsi="Times New Roman" w:cs="Times New Roman" w:eastAsiaTheme="minorEastAsia"/>
                <w:color w:val="auto"/>
                <w:spacing w:val="2"/>
                <w:szCs w:val="21"/>
              </w:rPr>
              <w:t>月开始建设</w:t>
            </w:r>
            <w:r>
              <w:rPr>
                <w:rFonts w:hint="default" w:ascii="Times New Roman" w:hAnsi="Times New Roman" w:cs="Times New Roman" w:eastAsiaTheme="minorEastAsia"/>
                <w:color w:val="auto"/>
                <w:spacing w:val="3"/>
                <w:szCs w:val="21"/>
              </w:rPr>
              <w:t>，于20</w:t>
            </w:r>
            <w:r>
              <w:rPr>
                <w:rFonts w:hint="default" w:ascii="Times New Roman" w:hAnsi="Times New Roman" w:cs="Times New Roman" w:eastAsiaTheme="minorEastAsia"/>
                <w:color w:val="auto"/>
                <w:spacing w:val="3"/>
                <w:szCs w:val="21"/>
                <w:lang w:val="en-US" w:eastAsia="zh-CN"/>
              </w:rPr>
              <w:t>24</w:t>
            </w:r>
            <w:r>
              <w:rPr>
                <w:rFonts w:hint="default" w:ascii="Times New Roman" w:hAnsi="Times New Roman" w:cs="Times New Roman" w:eastAsiaTheme="minorEastAsia"/>
                <w:color w:val="auto"/>
                <w:spacing w:val="3"/>
                <w:szCs w:val="21"/>
              </w:rPr>
              <w:t>年</w:t>
            </w:r>
            <w:r>
              <w:rPr>
                <w:rFonts w:hint="default" w:ascii="Times New Roman" w:hAnsi="Times New Roman" w:cs="Times New Roman" w:eastAsiaTheme="minorEastAsia"/>
                <w:color w:val="auto"/>
                <w:spacing w:val="3"/>
                <w:szCs w:val="21"/>
                <w:lang w:val="en-US" w:eastAsia="zh-CN"/>
              </w:rPr>
              <w:t>10</w:t>
            </w:r>
            <w:r>
              <w:rPr>
                <w:rFonts w:hint="default" w:ascii="Times New Roman" w:hAnsi="Times New Roman" w:cs="Times New Roman" w:eastAsiaTheme="minorEastAsia"/>
                <w:color w:val="auto"/>
                <w:spacing w:val="3"/>
                <w:szCs w:val="21"/>
              </w:rPr>
              <w:t>月建设完成。</w:t>
            </w:r>
          </w:p>
          <w:p>
            <w:pPr>
              <w:adjustRightInd w:val="0"/>
              <w:snapToGrid w:val="0"/>
              <w:spacing w:before="120" w:beforeLines="50" w:line="360" w:lineRule="auto"/>
              <w:ind w:firstLine="482" w:firstLineChars="200"/>
              <w:rPr>
                <w:rFonts w:hint="default" w:ascii="Times New Roman" w:hAnsi="Times New Roman" w:cs="Times New Roman" w:eastAsiaTheme="minorEastAsia"/>
                <w:b/>
                <w:color w:val="auto"/>
                <w:szCs w:val="21"/>
                <w:lang w:val="en-US" w:eastAsia="zh-CN"/>
              </w:rPr>
            </w:pPr>
            <w:r>
              <w:rPr>
                <w:rFonts w:hint="default" w:ascii="Times New Roman" w:hAnsi="Times New Roman" w:cs="Times New Roman" w:eastAsiaTheme="minorEastAsia"/>
                <w:b/>
                <w:color w:val="auto"/>
                <w:szCs w:val="21"/>
                <w:lang w:val="en-US" w:eastAsia="zh-CN"/>
              </w:rPr>
              <w:t>8、劳动定员及工作制度</w:t>
            </w:r>
          </w:p>
          <w:p>
            <w:pPr>
              <w:adjustRightInd w:val="0"/>
              <w:snapToGrid w:val="0"/>
              <w:spacing w:line="360" w:lineRule="auto"/>
              <w:ind w:firstLine="512" w:firstLineChars="200"/>
              <w:rPr>
                <w:rFonts w:hint="default" w:ascii="Times New Roman" w:hAnsi="Times New Roman" w:cs="Times New Roman" w:eastAsiaTheme="minorEastAsia"/>
                <w:color w:val="auto"/>
                <w:spacing w:val="8"/>
                <w:szCs w:val="21"/>
              </w:rPr>
            </w:pPr>
            <w:r>
              <w:rPr>
                <w:rFonts w:hint="default" w:ascii="Times New Roman" w:hAnsi="Times New Roman" w:cs="Times New Roman" w:eastAsiaTheme="minorEastAsia"/>
                <w:color w:val="auto"/>
                <w:spacing w:val="8"/>
                <w:szCs w:val="21"/>
              </w:rPr>
              <w:t>劳动定员：本项目运营期间工作人员数量为30人，其中包含管理人员5人，全部在项目区内食宿</w:t>
            </w:r>
            <w:r>
              <w:rPr>
                <w:rFonts w:hint="default" w:ascii="Times New Roman" w:hAnsi="Times New Roman" w:cs="Times New Roman" w:eastAsiaTheme="minorEastAsia"/>
                <w:color w:val="auto"/>
                <w:spacing w:val="8"/>
                <w:szCs w:val="21"/>
                <w:lang w:eastAsia="zh-CN"/>
              </w:rPr>
              <w:t>，</w:t>
            </w:r>
            <w:r>
              <w:rPr>
                <w:rFonts w:hint="default" w:ascii="Times New Roman" w:hAnsi="Times New Roman" w:cs="Times New Roman" w:eastAsiaTheme="minorEastAsia"/>
                <w:color w:val="auto"/>
                <w:spacing w:val="8"/>
                <w:szCs w:val="21"/>
                <w:lang w:val="en-US" w:eastAsia="zh-CN"/>
              </w:rPr>
              <w:t>本次改扩建不新增人员</w:t>
            </w:r>
            <w:r>
              <w:rPr>
                <w:rFonts w:hint="default" w:ascii="Times New Roman" w:hAnsi="Times New Roman" w:cs="Times New Roman" w:eastAsiaTheme="minorEastAsia"/>
                <w:color w:val="auto"/>
                <w:spacing w:val="8"/>
                <w:szCs w:val="21"/>
              </w:rPr>
              <w:t>。</w:t>
            </w:r>
          </w:p>
          <w:p>
            <w:pPr>
              <w:adjustRightInd w:val="0"/>
              <w:snapToGrid w:val="0"/>
              <w:spacing w:line="360" w:lineRule="auto"/>
              <w:ind w:firstLine="512" w:firstLineChars="200"/>
              <w:rPr>
                <w:rFonts w:hint="default" w:ascii="Times New Roman" w:hAnsi="Times New Roman" w:cs="Times New Roman" w:eastAsiaTheme="minorEastAsia"/>
                <w:color w:val="auto"/>
                <w:spacing w:val="8"/>
                <w:szCs w:val="21"/>
                <w:lang w:val="en-US" w:eastAsia="zh-CN"/>
              </w:rPr>
            </w:pPr>
            <w:r>
              <w:rPr>
                <w:rFonts w:hint="default" w:ascii="Times New Roman" w:hAnsi="Times New Roman" w:cs="Times New Roman" w:eastAsiaTheme="minorEastAsia"/>
                <w:color w:val="auto"/>
                <w:spacing w:val="8"/>
                <w:szCs w:val="21"/>
                <w:lang w:val="en-US" w:eastAsia="zh-CN"/>
              </w:rPr>
              <w:t>工作制度：年工作天数300天，实行单班制，每班工作8小时，夜间不生产。</w:t>
            </w:r>
          </w:p>
          <w:p>
            <w:pPr>
              <w:adjustRightInd w:val="0"/>
              <w:snapToGrid w:val="0"/>
              <w:spacing w:before="120" w:beforeLines="50" w:line="360" w:lineRule="auto"/>
              <w:ind w:firstLine="482" w:firstLineChars="200"/>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lang w:val="en-US" w:eastAsia="zh-CN"/>
              </w:rPr>
              <w:t>9</w:t>
            </w:r>
            <w:r>
              <w:rPr>
                <w:rFonts w:hint="default" w:ascii="Times New Roman" w:hAnsi="Times New Roman" w:cs="Times New Roman" w:eastAsiaTheme="minorEastAsia"/>
                <w:b/>
                <w:color w:val="auto"/>
                <w:szCs w:val="21"/>
              </w:rPr>
              <w:t>、水平衡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方正公文小标宋" w:cs="Times New Roman"/>
                <w:b w:val="0"/>
                <w:bCs w:val="0"/>
              </w:rPr>
            </w:pPr>
            <w:r>
              <w:rPr>
                <w:rFonts w:hint="default" w:ascii="Times New Roman" w:hAnsi="Times New Roman" w:eastAsia="方正公文小标宋" w:cs="Times New Roman"/>
                <w:b w:val="0"/>
                <w:bCs w:val="0"/>
              </w:rPr>
              <w:t>（1）生产废水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①</w:t>
            </w:r>
            <w:r>
              <w:rPr>
                <w:rFonts w:hint="default" w:ascii="Times New Roman" w:hAnsi="Times New Roman" w:eastAsia="宋体" w:cs="Times New Roman"/>
                <w:b w:val="0"/>
                <w:bCs w:val="0"/>
              </w:rPr>
              <w:t>中空玻璃的清洗用水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Cs w:val="21"/>
              </w:rPr>
            </w:pPr>
            <w:r>
              <w:rPr>
                <w:rFonts w:hint="default" w:ascii="Times New Roman" w:hAnsi="Times New Roman" w:eastAsia="宋体" w:cs="Times New Roman"/>
                <w:b w:val="0"/>
                <w:bCs w:val="0"/>
              </w:rPr>
              <w:t>中空玻璃在合片前，需对玻璃表面进行清洗，洗去玻璃表面的灰尘等杂质，不使用任何清洗剂，清洗废水的成分较简单，主要污染物为SS。清洗废水流入清洗废水流入机器自带的沉淀槽经静置沉淀后，</w:t>
            </w:r>
            <w:r>
              <w:rPr>
                <w:rFonts w:hint="default" w:ascii="Times New Roman" w:hAnsi="Times New Roman" w:cs="Times New Roman"/>
                <w:b w:val="0"/>
                <w:bCs w:val="0"/>
                <w:lang w:eastAsia="zh-CN"/>
              </w:rPr>
              <w:t>清洗水循环回用</w:t>
            </w:r>
            <w:r>
              <w:rPr>
                <w:rFonts w:hint="default" w:ascii="Times New Roman" w:hAnsi="Times New Roman" w:eastAsia="宋体" w:cs="Times New Roman"/>
                <w:b w:val="0"/>
                <w:bCs w:val="0"/>
              </w:rPr>
              <w:t>，下层玻璃粉末结块后捞出作为固废处置不外排。评价参考《排放源统计调查产排污核算方法和系数手册》304玻璃制造行业系数手册中的中空玻璃废水产污系数为0.0114吨/平方米-产品，则</w:t>
            </w:r>
            <w:r>
              <w:rPr>
                <w:rFonts w:hint="default" w:ascii="Times New Roman" w:hAnsi="Times New Roman" w:eastAsia="宋体" w:cs="Times New Roman"/>
                <w:b w:val="0"/>
                <w:bCs w:val="0"/>
                <w:spacing w:val="2"/>
                <w:szCs w:val="21"/>
              </w:rPr>
              <w:t>项目玻璃年产量为</w:t>
            </w:r>
            <w:r>
              <w:rPr>
                <w:rFonts w:hint="default" w:ascii="Times New Roman" w:hAnsi="Times New Roman" w:eastAsia="宋体" w:cs="Times New Roman"/>
                <w:b w:val="0"/>
                <w:bCs w:val="0"/>
                <w:spacing w:val="-7"/>
                <w:szCs w:val="21"/>
                <w:lang w:val="en-US" w:eastAsia="zh-CN"/>
              </w:rPr>
              <w:t>110</w:t>
            </w:r>
            <w:r>
              <w:rPr>
                <w:rFonts w:hint="default" w:ascii="Times New Roman" w:hAnsi="Times New Roman" w:eastAsia="宋体" w:cs="Times New Roman"/>
                <w:b w:val="0"/>
                <w:bCs w:val="0"/>
                <w:spacing w:val="-7"/>
                <w:szCs w:val="21"/>
              </w:rPr>
              <w:t>万</w:t>
            </w:r>
            <w:r>
              <w:rPr>
                <w:rFonts w:hint="default" w:ascii="Times New Roman" w:hAnsi="Times New Roman" w:cs="Times New Roman"/>
                <w:b w:val="0"/>
                <w:bCs w:val="0"/>
                <w:spacing w:val="-7"/>
                <w:szCs w:val="21"/>
                <w:lang w:eastAsia="zh-CN"/>
              </w:rPr>
              <w:t>㎡</w:t>
            </w:r>
            <w:r>
              <w:rPr>
                <w:rFonts w:hint="default" w:ascii="Times New Roman" w:hAnsi="Times New Roman" w:eastAsia="宋体" w:cs="Times New Roman"/>
                <w:b w:val="0"/>
                <w:bCs w:val="0"/>
                <w:spacing w:val="-7"/>
                <w:szCs w:val="21"/>
              </w:rPr>
              <w:t>，玻璃废水</w:t>
            </w:r>
            <w:r>
              <w:rPr>
                <w:rFonts w:hint="default" w:ascii="Times New Roman" w:hAnsi="Times New Roman" w:eastAsia="宋体" w:cs="Times New Roman"/>
                <w:b w:val="0"/>
                <w:bCs w:val="0"/>
                <w:spacing w:val="-7"/>
                <w:szCs w:val="21"/>
                <w:lang w:val="en-US" w:eastAsia="zh-CN"/>
              </w:rPr>
              <w:t>用水</w:t>
            </w:r>
            <w:r>
              <w:rPr>
                <w:rFonts w:hint="default" w:ascii="Times New Roman" w:hAnsi="Times New Roman" w:eastAsia="宋体" w:cs="Times New Roman"/>
                <w:b w:val="0"/>
                <w:bCs w:val="0"/>
                <w:spacing w:val="-7"/>
                <w:szCs w:val="21"/>
              </w:rPr>
              <w:t>量为</w:t>
            </w:r>
            <w:r>
              <w:rPr>
                <w:rFonts w:hint="default" w:ascii="Times New Roman" w:hAnsi="Times New Roman" w:eastAsia="宋体" w:cs="Times New Roman"/>
                <w:b w:val="0"/>
                <w:bCs w:val="0"/>
                <w:spacing w:val="-7"/>
                <w:szCs w:val="21"/>
                <w:lang w:val="en-US" w:eastAsia="zh-CN"/>
              </w:rPr>
              <w:t>12500</w:t>
            </w:r>
            <w:r>
              <w:rPr>
                <w:rFonts w:hint="default" w:ascii="Times New Roman" w:hAnsi="Times New Roman" w:cs="Times New Roman"/>
                <w:b w:val="0"/>
                <w:bCs w:val="0"/>
                <w:spacing w:val="-7"/>
                <w:szCs w:val="21"/>
                <w:lang w:eastAsia="zh-CN"/>
              </w:rPr>
              <w:t>m³</w:t>
            </w:r>
            <w:r>
              <w:rPr>
                <w:rFonts w:hint="default" w:ascii="Times New Roman" w:hAnsi="Times New Roman" w:eastAsia="宋体" w:cs="Times New Roman"/>
                <w:b w:val="0"/>
                <w:bCs w:val="0"/>
                <w:spacing w:val="-7"/>
                <w:szCs w:val="21"/>
              </w:rPr>
              <w:t>/a，</w:t>
            </w:r>
            <w:r>
              <w:rPr>
                <w:rFonts w:hint="default" w:ascii="Times New Roman" w:hAnsi="Times New Roman" w:eastAsia="宋体" w:cs="Times New Roman"/>
                <w:b w:val="0"/>
                <w:bCs w:val="0"/>
                <w:spacing w:val="-7"/>
                <w:szCs w:val="21"/>
                <w:lang w:val="en-US" w:eastAsia="zh-CN"/>
              </w:rPr>
              <w:t>41.8</w:t>
            </w:r>
            <w:r>
              <w:rPr>
                <w:rFonts w:hint="default" w:ascii="Times New Roman" w:hAnsi="Times New Roman" w:cs="Times New Roman"/>
                <w:b w:val="0"/>
                <w:bCs w:val="0"/>
                <w:spacing w:val="-7"/>
                <w:szCs w:val="21"/>
                <w:lang w:eastAsia="zh-CN"/>
              </w:rPr>
              <w:t>m³</w:t>
            </w:r>
            <w:r>
              <w:rPr>
                <w:rFonts w:hint="default" w:ascii="Times New Roman" w:hAnsi="Times New Roman" w:eastAsia="宋体" w:cs="Times New Roman"/>
                <w:b w:val="0"/>
                <w:bCs w:val="0"/>
                <w:spacing w:val="-7"/>
                <w:szCs w:val="21"/>
              </w:rPr>
              <w:t>/d。</w:t>
            </w:r>
            <w:r>
              <w:rPr>
                <w:rFonts w:hint="default" w:ascii="Times New Roman" w:hAnsi="Times New Roman" w:eastAsia="宋体" w:cs="Times New Roman"/>
                <w:b w:val="0"/>
                <w:bCs w:val="0"/>
                <w:spacing w:val="-2"/>
                <w:szCs w:val="21"/>
              </w:rPr>
              <w:t>须每天补充新鲜水</w:t>
            </w:r>
            <w:r>
              <w:rPr>
                <w:rFonts w:hint="default" w:ascii="Times New Roman" w:hAnsi="Times New Roman" w:eastAsia="宋体" w:cs="Times New Roman"/>
                <w:b w:val="0"/>
                <w:bCs w:val="0"/>
                <w:spacing w:val="-2"/>
                <w:szCs w:val="21"/>
                <w:lang w:val="en-US" w:eastAsia="zh-CN"/>
              </w:rPr>
              <w:t>2</w:t>
            </w:r>
            <w:r>
              <w:rPr>
                <w:rFonts w:hint="default" w:ascii="Times New Roman" w:hAnsi="Times New Roman" w:cs="Times New Roman"/>
                <w:b w:val="0"/>
                <w:bCs w:val="0"/>
                <w:spacing w:val="-2"/>
                <w:szCs w:val="21"/>
                <w:lang w:eastAsia="zh-CN"/>
              </w:rPr>
              <w:t>m³</w:t>
            </w:r>
            <w:r>
              <w:rPr>
                <w:rFonts w:hint="default" w:ascii="Times New Roman" w:hAnsi="Times New Roman" w:eastAsia="宋体" w:cs="Times New Roman"/>
                <w:b w:val="0"/>
                <w:bCs w:val="0"/>
                <w:spacing w:val="-2"/>
                <w:szCs w:val="21"/>
              </w:rPr>
              <w:t>/d，进入循</w:t>
            </w:r>
            <w:r>
              <w:rPr>
                <w:rFonts w:hint="default" w:ascii="Times New Roman" w:hAnsi="Times New Roman" w:eastAsia="宋体" w:cs="Times New Roman"/>
                <w:b w:val="0"/>
                <w:bCs w:val="0"/>
                <w:spacing w:val="-3"/>
                <w:szCs w:val="21"/>
              </w:rPr>
              <w:t>环水池的循环废水量为</w:t>
            </w:r>
            <w:r>
              <w:rPr>
                <w:rFonts w:hint="default" w:ascii="Times New Roman" w:hAnsi="Times New Roman" w:eastAsia="宋体" w:cs="Times New Roman"/>
                <w:b w:val="0"/>
                <w:bCs w:val="0"/>
                <w:spacing w:val="-3"/>
                <w:szCs w:val="21"/>
                <w:lang w:val="en-US" w:eastAsia="zh-CN"/>
              </w:rPr>
              <w:t>39.8</w:t>
            </w:r>
            <w:r>
              <w:rPr>
                <w:rFonts w:hint="default" w:ascii="Times New Roman" w:hAnsi="Times New Roman" w:cs="Times New Roman"/>
                <w:b w:val="0"/>
                <w:bCs w:val="0"/>
                <w:spacing w:val="-3"/>
                <w:szCs w:val="21"/>
                <w:lang w:eastAsia="zh-CN"/>
              </w:rPr>
              <w:t>m³</w:t>
            </w:r>
            <w:r>
              <w:rPr>
                <w:rFonts w:hint="default" w:ascii="Times New Roman" w:hAnsi="Times New Roman" w:eastAsia="宋体" w:cs="Times New Roman"/>
                <w:b w:val="0"/>
                <w:bCs w:val="0"/>
                <w:spacing w:val="-3"/>
                <w:szCs w:val="21"/>
              </w:rPr>
              <w:t>/d。</w:t>
            </w:r>
          </w:p>
          <w:p>
            <w:pPr>
              <w:bidi w:val="0"/>
              <w:rPr>
                <w:rFonts w:hint="default" w:ascii="Times New Roman" w:hAnsi="Times New Roman" w:eastAsia="宋体" w:cs="Times New Roman"/>
                <w:b w:val="0"/>
                <w:bCs w:val="0"/>
              </w:rPr>
            </w:pPr>
            <w:r>
              <w:rPr>
                <w:rFonts w:hint="default" w:ascii="Times New Roman" w:hAnsi="Times New Roman" w:eastAsia="宋体" w:cs="Times New Roman"/>
                <w:b w:val="0"/>
                <w:bCs w:val="0"/>
              </w:rPr>
              <w:t>（2）生活污水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rPr>
            </w:pPr>
            <w:r>
              <w:rPr>
                <w:rFonts w:hint="default" w:ascii="Times New Roman" w:hAnsi="Times New Roman" w:eastAsia="宋体" w:cs="Times New Roman"/>
                <w:b w:val="0"/>
                <w:bCs w:val="0"/>
              </w:rPr>
              <w:t>项目投入运营后每天的厂区工作人员约30人，全部在项目区内食宿，生活用水参考GB53/T168-2019《云南省地方标准用水定额》标准，职工生活用水量按每人每天100L计（其他生活用水占80%，食堂用水占20%），年生产天数按300天计，则总用水量为3</w:t>
            </w:r>
            <w:r>
              <w:rPr>
                <w:rFonts w:hint="default" w:ascii="Times New Roman" w:hAnsi="Times New Roman" w:cs="Times New Roman"/>
                <w:b w:val="0"/>
                <w:bCs w:val="0"/>
                <w:lang w:eastAsia="zh-CN"/>
              </w:rPr>
              <w:t>m³</w:t>
            </w:r>
            <w:r>
              <w:rPr>
                <w:rFonts w:hint="default" w:ascii="Times New Roman" w:hAnsi="Times New Roman" w:eastAsia="宋体" w:cs="Times New Roman"/>
                <w:b w:val="0"/>
                <w:bCs w:val="0"/>
              </w:rPr>
              <w:t>/d（900</w:t>
            </w:r>
            <w:r>
              <w:rPr>
                <w:rFonts w:hint="default" w:ascii="Times New Roman" w:hAnsi="Times New Roman" w:cs="Times New Roman"/>
                <w:b w:val="0"/>
                <w:bCs w:val="0"/>
                <w:lang w:eastAsia="zh-CN"/>
              </w:rPr>
              <w:t>m³</w:t>
            </w:r>
            <w:r>
              <w:rPr>
                <w:rFonts w:hint="default" w:ascii="Times New Roman" w:hAnsi="Times New Roman" w:eastAsia="宋体" w:cs="Times New Roman"/>
                <w:b w:val="0"/>
                <w:bCs w:val="0"/>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rPr>
            </w:pPr>
            <w:r>
              <w:rPr>
                <w:rFonts w:hint="default" w:ascii="Times New Roman" w:hAnsi="Times New Roman" w:eastAsia="宋体" w:cs="Times New Roman"/>
                <w:b w:val="0"/>
                <w:bCs w:val="0"/>
              </w:rPr>
              <w:t>①其中生活用水量为2.4</w:t>
            </w:r>
            <w:r>
              <w:rPr>
                <w:rFonts w:hint="default" w:ascii="Times New Roman" w:hAnsi="Times New Roman" w:cs="Times New Roman"/>
                <w:b w:val="0"/>
                <w:bCs w:val="0"/>
                <w:lang w:eastAsia="zh-CN"/>
              </w:rPr>
              <w:t>m³</w:t>
            </w:r>
            <w:r>
              <w:rPr>
                <w:rFonts w:hint="default" w:ascii="Times New Roman" w:hAnsi="Times New Roman" w:eastAsia="宋体" w:cs="Times New Roman"/>
                <w:b w:val="0"/>
                <w:bCs w:val="0"/>
              </w:rPr>
              <w:t>/d（720</w:t>
            </w:r>
            <w:r>
              <w:rPr>
                <w:rFonts w:hint="default" w:ascii="Times New Roman" w:hAnsi="Times New Roman" w:cs="Times New Roman"/>
                <w:b w:val="0"/>
                <w:bCs w:val="0"/>
                <w:lang w:eastAsia="zh-CN"/>
              </w:rPr>
              <w:t>m³</w:t>
            </w:r>
            <w:r>
              <w:rPr>
                <w:rFonts w:hint="default" w:ascii="Times New Roman" w:hAnsi="Times New Roman" w:eastAsia="宋体" w:cs="Times New Roman"/>
                <w:b w:val="0"/>
                <w:bCs w:val="0"/>
              </w:rPr>
              <w:t>/a）。生活污水产污系数按照0.8计，则职工生活污水产生量为1.92</w:t>
            </w:r>
            <w:r>
              <w:rPr>
                <w:rFonts w:hint="default" w:ascii="Times New Roman" w:hAnsi="Times New Roman" w:cs="Times New Roman"/>
                <w:b w:val="0"/>
                <w:bCs w:val="0"/>
                <w:lang w:eastAsia="zh-CN"/>
              </w:rPr>
              <w:t>m³</w:t>
            </w:r>
            <w:r>
              <w:rPr>
                <w:rFonts w:hint="default" w:ascii="Times New Roman" w:hAnsi="Times New Roman" w:eastAsia="宋体" w:cs="Times New Roman"/>
                <w:b w:val="0"/>
                <w:bCs w:val="0"/>
              </w:rPr>
              <w:t>/d（576</w:t>
            </w:r>
            <w:r>
              <w:rPr>
                <w:rFonts w:hint="default" w:ascii="Times New Roman" w:hAnsi="Times New Roman" w:cs="Times New Roman"/>
                <w:b w:val="0"/>
                <w:bCs w:val="0"/>
                <w:lang w:eastAsia="zh-CN"/>
              </w:rPr>
              <w:t>m³</w:t>
            </w:r>
            <w:r>
              <w:rPr>
                <w:rFonts w:hint="default" w:ascii="Times New Roman" w:hAnsi="Times New Roman" w:eastAsia="宋体" w:cs="Times New Roman"/>
                <w:b w:val="0"/>
                <w:bCs w:val="0"/>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rPr>
            </w:pPr>
            <w:r>
              <w:rPr>
                <w:rFonts w:hint="default" w:ascii="Times New Roman" w:hAnsi="Times New Roman" w:eastAsia="宋体" w:cs="Times New Roman"/>
                <w:b w:val="0"/>
                <w:bCs w:val="0"/>
              </w:rPr>
              <w:t>②其中食堂用水量为0.6</w:t>
            </w:r>
            <w:r>
              <w:rPr>
                <w:rFonts w:hint="default" w:ascii="Times New Roman" w:hAnsi="Times New Roman" w:cs="Times New Roman"/>
                <w:b w:val="0"/>
                <w:bCs w:val="0"/>
                <w:lang w:eastAsia="zh-CN"/>
              </w:rPr>
              <w:t>m³</w:t>
            </w:r>
            <w:r>
              <w:rPr>
                <w:rFonts w:hint="default" w:ascii="Times New Roman" w:hAnsi="Times New Roman" w:eastAsia="宋体" w:cs="Times New Roman"/>
                <w:b w:val="0"/>
                <w:bCs w:val="0"/>
              </w:rPr>
              <w:t>/d（180</w:t>
            </w:r>
            <w:r>
              <w:rPr>
                <w:rFonts w:hint="default" w:ascii="Times New Roman" w:hAnsi="Times New Roman" w:cs="Times New Roman"/>
                <w:b w:val="0"/>
                <w:bCs w:val="0"/>
                <w:lang w:eastAsia="zh-CN"/>
              </w:rPr>
              <w:t>m³</w:t>
            </w:r>
            <w:r>
              <w:rPr>
                <w:rFonts w:hint="default" w:ascii="Times New Roman" w:hAnsi="Times New Roman" w:eastAsia="宋体" w:cs="Times New Roman"/>
                <w:b w:val="0"/>
                <w:bCs w:val="0"/>
              </w:rPr>
              <w:t>/a）。食堂污水的产污系数按照0.8计，则食堂用水为0.48</w:t>
            </w:r>
            <w:r>
              <w:rPr>
                <w:rFonts w:hint="default" w:ascii="Times New Roman" w:hAnsi="Times New Roman" w:cs="Times New Roman"/>
                <w:b w:val="0"/>
                <w:bCs w:val="0"/>
                <w:lang w:eastAsia="zh-CN"/>
              </w:rPr>
              <w:t>m³</w:t>
            </w:r>
            <w:r>
              <w:rPr>
                <w:rFonts w:hint="default" w:ascii="Times New Roman" w:hAnsi="Times New Roman" w:eastAsia="宋体" w:cs="Times New Roman"/>
                <w:b w:val="0"/>
                <w:bCs w:val="0"/>
              </w:rPr>
              <w:t>/d（144</w:t>
            </w:r>
            <w:r>
              <w:rPr>
                <w:rFonts w:hint="default" w:ascii="Times New Roman" w:hAnsi="Times New Roman" w:cs="Times New Roman"/>
                <w:b w:val="0"/>
                <w:bCs w:val="0"/>
                <w:lang w:eastAsia="zh-CN"/>
              </w:rPr>
              <w:t>m³</w:t>
            </w:r>
            <w:r>
              <w:rPr>
                <w:rFonts w:hint="default" w:ascii="Times New Roman" w:hAnsi="Times New Roman" w:eastAsia="宋体" w:cs="Times New Roman"/>
                <w:b w:val="0"/>
                <w:bCs w:val="0"/>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rPr>
            </w:pPr>
            <w:r>
              <w:rPr>
                <w:rFonts w:hint="default" w:ascii="Times New Roman" w:hAnsi="Times New Roman" w:eastAsia="宋体" w:cs="Times New Roman"/>
                <w:b w:val="0"/>
                <w:bCs w:val="0"/>
              </w:rPr>
              <w:t>食堂废水先经</w:t>
            </w:r>
            <w:r>
              <w:rPr>
                <w:rFonts w:hint="eastAsia" w:cs="Times New Roman"/>
                <w:b w:val="0"/>
                <w:bCs w:val="0"/>
                <w:lang w:eastAsia="zh-CN"/>
              </w:rPr>
              <w:t>油水分离器</w:t>
            </w:r>
            <w:r>
              <w:rPr>
                <w:rFonts w:hint="default" w:ascii="Times New Roman" w:hAnsi="Times New Roman" w:eastAsia="宋体" w:cs="Times New Roman"/>
                <w:b w:val="0"/>
                <w:bCs w:val="0"/>
              </w:rPr>
              <w:t>处理后与其他职工生活污水排入依托</w:t>
            </w:r>
            <w:r>
              <w:rPr>
                <w:rFonts w:hint="default" w:ascii="Times New Roman" w:hAnsi="Times New Roman" w:cs="Times New Roman"/>
                <w:b w:val="0"/>
                <w:bCs w:val="0"/>
                <w:lang w:eastAsia="zh-CN"/>
              </w:rPr>
              <w:t>云南鑫成鹏高分子科技有限公司</w:t>
            </w:r>
            <w:r>
              <w:rPr>
                <w:rFonts w:hint="default" w:ascii="Times New Roman" w:hAnsi="Times New Roman" w:eastAsia="宋体" w:cs="Times New Roman"/>
                <w:b w:val="0"/>
                <w:bCs w:val="0"/>
              </w:rPr>
              <w:t>3号厂房的化粪池处理，项目废水主要是生活污水，含有的污染物主要是CODcr、BOD</w:t>
            </w:r>
            <w:r>
              <w:rPr>
                <w:rFonts w:hint="default" w:ascii="Times New Roman" w:hAnsi="Times New Roman" w:eastAsia="宋体" w:cs="Times New Roman"/>
                <w:b w:val="0"/>
                <w:bCs w:val="0"/>
                <w:vertAlign w:val="subscript"/>
              </w:rPr>
              <w:t>5</w:t>
            </w:r>
            <w:r>
              <w:rPr>
                <w:rFonts w:hint="default" w:ascii="Times New Roman" w:hAnsi="Times New Roman" w:eastAsia="宋体" w:cs="Times New Roman"/>
                <w:b w:val="0"/>
                <w:bCs w:val="0"/>
              </w:rPr>
              <w:t>、SS、氨氮、动植物油和总磷，根据《我国城市生活污水水质统计数据》，各种污染物的产生浓度分别为CODcr：400mg/L，BOD</w:t>
            </w:r>
            <w:r>
              <w:rPr>
                <w:rFonts w:hint="default" w:ascii="Times New Roman" w:hAnsi="Times New Roman" w:eastAsia="宋体" w:cs="Times New Roman"/>
                <w:b w:val="0"/>
                <w:bCs w:val="0"/>
                <w:vertAlign w:val="subscript"/>
              </w:rPr>
              <w:t>5</w:t>
            </w:r>
            <w:r>
              <w:rPr>
                <w:rFonts w:hint="default" w:ascii="Times New Roman" w:hAnsi="Times New Roman" w:eastAsia="宋体" w:cs="Times New Roman"/>
                <w:b w:val="0"/>
                <w:bCs w:val="0"/>
              </w:rPr>
              <w:t>：220mg/L，SS：300mg/L，NH</w:t>
            </w:r>
            <w:r>
              <w:rPr>
                <w:rFonts w:hint="default" w:ascii="Times New Roman" w:hAnsi="Times New Roman" w:eastAsia="宋体" w:cs="Times New Roman"/>
                <w:b w:val="0"/>
                <w:bCs w:val="0"/>
                <w:vertAlign w:val="subscript"/>
              </w:rPr>
              <w:t>3</w:t>
            </w:r>
            <w:r>
              <w:rPr>
                <w:rFonts w:hint="default" w:ascii="Times New Roman" w:hAnsi="Times New Roman" w:eastAsia="宋体" w:cs="Times New Roman"/>
                <w:b w:val="0"/>
                <w:bCs w:val="0"/>
              </w:rPr>
              <w:t>-N：20mg/L，动植物油：50mg/L，TP：7mg/L。项目</w:t>
            </w:r>
            <w:r>
              <w:rPr>
                <w:rFonts w:hint="default" w:ascii="Times New Roman" w:hAnsi="Times New Roman" w:eastAsia="宋体" w:cs="Times New Roman"/>
                <w:b w:val="0"/>
                <w:bCs w:val="0"/>
                <w:lang w:val="en-US" w:eastAsia="zh-CN"/>
              </w:rPr>
              <w:t>用水情况表见表2-5，2-6</w:t>
            </w:r>
            <w:r>
              <w:rPr>
                <w:rFonts w:hint="default" w:ascii="Times New Roman" w:hAnsi="Times New Roman" w:eastAsia="宋体" w:cs="Times New Roman"/>
                <w:b w:val="0"/>
                <w:bCs w:val="0"/>
              </w:rPr>
              <w:t>。</w:t>
            </w:r>
          </w:p>
          <w:p>
            <w:pPr>
              <w:pStyle w:val="36"/>
              <w:rPr>
                <w:rFonts w:hint="default" w:ascii="Times New Roman" w:hAnsi="Times New Roman" w:cs="Times New Roman"/>
                <w:color w:val="auto"/>
              </w:rPr>
            </w:pPr>
            <w:r>
              <w:rPr>
                <w:rFonts w:hint="default" w:ascii="Times New Roman" w:hAnsi="Times New Roman" w:cs="Times New Roman"/>
                <w:color w:val="auto"/>
                <w:lang w:val="en-US" w:eastAsia="zh-CN"/>
              </w:rPr>
              <w:t>2-5</w:t>
            </w:r>
            <w:r>
              <w:rPr>
                <w:rFonts w:hint="default" w:ascii="Times New Roman" w:hAnsi="Times New Roman" w:cs="Times New Roman"/>
                <w:color w:val="auto"/>
              </w:rPr>
              <w:t>近期项目水平衡见下表</w:t>
            </w:r>
          </w:p>
          <w:tbl>
            <w:tblPr>
              <w:tblStyle w:val="28"/>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55"/>
              <w:gridCol w:w="593"/>
              <w:gridCol w:w="848"/>
              <w:gridCol w:w="808"/>
              <w:gridCol w:w="761"/>
              <w:gridCol w:w="761"/>
              <w:gridCol w:w="680"/>
              <w:gridCol w:w="588"/>
              <w:gridCol w:w="540"/>
              <w:gridCol w:w="723"/>
              <w:gridCol w:w="586"/>
              <w:gridCol w:w="5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88"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用水单</w:t>
                  </w:r>
                </w:p>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元</w:t>
                  </w:r>
                </w:p>
              </w:tc>
              <w:tc>
                <w:tcPr>
                  <w:tcW w:w="375"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用水用途</w:t>
                  </w:r>
                </w:p>
              </w:tc>
              <w:tc>
                <w:tcPr>
                  <w:tcW w:w="536" w:type="pct"/>
                  <w:shd w:val="clear" w:color="auto" w:fill="F2F2F2"/>
                  <w:vAlign w:val="center"/>
                </w:tcPr>
                <w:p>
                  <w:pPr>
                    <w:pStyle w:val="36"/>
                    <w:rPr>
                      <w:rFonts w:hint="default" w:ascii="Times New Roman" w:hAnsi="Times New Roman" w:eastAsia="仿宋" w:cs="Times New Roman"/>
                      <w:b w:val="0"/>
                      <w:bCs/>
                      <w:color w:val="auto"/>
                    </w:rPr>
                  </w:pPr>
                  <w:r>
                    <w:rPr>
                      <w:rFonts w:hint="default" w:ascii="Times New Roman" w:hAnsi="Times New Roman" w:cs="Times New Roman"/>
                      <w:b w:val="0"/>
                      <w:bCs/>
                      <w:color w:val="auto"/>
                    </w:rPr>
                    <w:t>用水量（</w:t>
                  </w:r>
                  <w:r>
                    <w:rPr>
                      <w:rFonts w:hint="default" w:ascii="Times New Roman" w:hAnsi="Times New Roman" w:cs="Times New Roman"/>
                      <w:b w:val="0"/>
                      <w:bCs/>
                      <w:color w:val="auto"/>
                      <w:lang w:eastAsia="zh-CN"/>
                    </w:rPr>
                    <w:t>m³</w:t>
                  </w:r>
                  <w:r>
                    <w:rPr>
                      <w:rFonts w:hint="default" w:ascii="Times New Roman" w:hAnsi="Times New Roman" w:cs="Times New Roman"/>
                      <w:b w:val="0"/>
                      <w:bCs/>
                      <w:color w:val="auto"/>
                    </w:rPr>
                    <w:t>/d）</w:t>
                  </w:r>
                </w:p>
              </w:tc>
              <w:tc>
                <w:tcPr>
                  <w:tcW w:w="503"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用水量（</w:t>
                  </w:r>
                  <w:r>
                    <w:rPr>
                      <w:rFonts w:hint="default" w:ascii="Times New Roman" w:hAnsi="Times New Roman" w:cs="Times New Roman"/>
                      <w:b w:val="0"/>
                      <w:bCs/>
                      <w:color w:val="auto"/>
                      <w:lang w:eastAsia="zh-CN"/>
                    </w:rPr>
                    <w:t>m³</w:t>
                  </w:r>
                  <w:r>
                    <w:rPr>
                      <w:rFonts w:hint="default" w:ascii="Times New Roman" w:hAnsi="Times New Roman" w:cs="Times New Roman"/>
                      <w:b w:val="0"/>
                      <w:bCs/>
                      <w:color w:val="auto"/>
                    </w:rPr>
                    <w:t>/a）</w:t>
                  </w:r>
                </w:p>
              </w:tc>
              <w:tc>
                <w:tcPr>
                  <w:tcW w:w="481"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新鲜水补充</w:t>
                  </w:r>
                </w:p>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水量(</w:t>
                  </w:r>
                  <w:r>
                    <w:rPr>
                      <w:rFonts w:hint="default" w:ascii="Times New Roman" w:hAnsi="Times New Roman" w:cs="Times New Roman"/>
                      <w:b w:val="0"/>
                      <w:bCs/>
                      <w:color w:val="auto"/>
                      <w:lang w:eastAsia="zh-CN"/>
                    </w:rPr>
                    <w:t>m³</w:t>
                  </w:r>
                  <w:r>
                    <w:rPr>
                      <w:rFonts w:hint="default" w:ascii="Times New Roman" w:hAnsi="Times New Roman" w:cs="Times New Roman"/>
                      <w:b w:val="0"/>
                      <w:bCs/>
                      <w:color w:val="auto"/>
                    </w:rPr>
                    <w:t>/d)</w:t>
                  </w:r>
                </w:p>
              </w:tc>
              <w:tc>
                <w:tcPr>
                  <w:tcW w:w="481"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新鲜水补充</w:t>
                  </w:r>
                </w:p>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水量(</w:t>
                  </w:r>
                  <w:r>
                    <w:rPr>
                      <w:rFonts w:hint="default" w:ascii="Times New Roman" w:hAnsi="Times New Roman" w:cs="Times New Roman"/>
                      <w:b w:val="0"/>
                      <w:bCs/>
                      <w:color w:val="auto"/>
                      <w:lang w:eastAsia="zh-CN"/>
                    </w:rPr>
                    <w:t>m³</w:t>
                  </w:r>
                  <w:r>
                    <w:rPr>
                      <w:rFonts w:hint="default" w:ascii="Times New Roman" w:hAnsi="Times New Roman" w:cs="Times New Roman"/>
                      <w:b w:val="0"/>
                      <w:bCs/>
                      <w:color w:val="auto"/>
                    </w:rPr>
                    <w:t>/a)</w:t>
                  </w:r>
                </w:p>
              </w:tc>
              <w:tc>
                <w:tcPr>
                  <w:tcW w:w="430"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回用水用量</w:t>
                  </w:r>
                </w:p>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w:t>
                  </w:r>
                  <w:r>
                    <w:rPr>
                      <w:rFonts w:hint="default" w:ascii="Times New Roman" w:hAnsi="Times New Roman" w:cs="Times New Roman"/>
                      <w:b w:val="0"/>
                      <w:bCs/>
                      <w:color w:val="auto"/>
                      <w:lang w:eastAsia="zh-CN"/>
                    </w:rPr>
                    <w:t>m³</w:t>
                  </w:r>
                  <w:r>
                    <w:rPr>
                      <w:rFonts w:hint="default" w:ascii="Times New Roman" w:hAnsi="Times New Roman" w:cs="Times New Roman"/>
                      <w:b w:val="0"/>
                      <w:bCs/>
                      <w:color w:val="auto"/>
                      <w:vertAlign w:val="superscript"/>
                    </w:rPr>
                    <w:t>/</w:t>
                  </w:r>
                  <w:r>
                    <w:rPr>
                      <w:rFonts w:hint="default" w:ascii="Times New Roman" w:hAnsi="Times New Roman" w:cs="Times New Roman"/>
                      <w:b w:val="0"/>
                      <w:bCs/>
                      <w:color w:val="auto"/>
                    </w:rPr>
                    <w:t>d)</w:t>
                  </w:r>
                </w:p>
              </w:tc>
              <w:tc>
                <w:tcPr>
                  <w:tcW w:w="372"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回用水用量</w:t>
                  </w:r>
                </w:p>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w:t>
                  </w:r>
                  <w:r>
                    <w:rPr>
                      <w:rFonts w:hint="default" w:ascii="Times New Roman" w:hAnsi="Times New Roman" w:cs="Times New Roman"/>
                      <w:b w:val="0"/>
                      <w:bCs/>
                      <w:color w:val="auto"/>
                      <w:lang w:eastAsia="zh-CN"/>
                    </w:rPr>
                    <w:t>m³</w:t>
                  </w:r>
                  <w:r>
                    <w:rPr>
                      <w:rFonts w:hint="default" w:ascii="Times New Roman" w:hAnsi="Times New Roman" w:cs="Times New Roman"/>
                      <w:b w:val="0"/>
                      <w:bCs/>
                      <w:color w:val="auto"/>
                      <w:vertAlign w:val="superscript"/>
                    </w:rPr>
                    <w:t>/</w:t>
                  </w:r>
                  <w:r>
                    <w:rPr>
                      <w:rFonts w:hint="default" w:ascii="Times New Roman" w:hAnsi="Times New Roman" w:cs="Times New Roman"/>
                      <w:b w:val="0"/>
                      <w:bCs/>
                      <w:color w:val="auto"/>
                    </w:rPr>
                    <w:t>a)</w:t>
                  </w:r>
                </w:p>
              </w:tc>
              <w:tc>
                <w:tcPr>
                  <w:tcW w:w="336"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废水产生</w:t>
                  </w:r>
                </w:p>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量(</w:t>
                  </w:r>
                  <w:r>
                    <w:rPr>
                      <w:rFonts w:hint="default" w:ascii="Times New Roman" w:hAnsi="Times New Roman" w:cs="Times New Roman"/>
                      <w:b w:val="0"/>
                      <w:bCs/>
                      <w:color w:val="auto"/>
                      <w:lang w:eastAsia="zh-CN"/>
                    </w:rPr>
                    <w:t>m³</w:t>
                  </w:r>
                  <w:r>
                    <w:rPr>
                      <w:rFonts w:hint="default" w:ascii="Times New Roman" w:hAnsi="Times New Roman" w:cs="Times New Roman"/>
                      <w:b w:val="0"/>
                      <w:bCs/>
                      <w:color w:val="auto"/>
                    </w:rPr>
                    <w:t>/d)</w:t>
                  </w:r>
                </w:p>
              </w:tc>
              <w:tc>
                <w:tcPr>
                  <w:tcW w:w="457"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废水产生</w:t>
                  </w:r>
                </w:p>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量(</w:t>
                  </w:r>
                  <w:r>
                    <w:rPr>
                      <w:rFonts w:hint="default" w:ascii="Times New Roman" w:hAnsi="Times New Roman" w:cs="Times New Roman"/>
                      <w:b w:val="0"/>
                      <w:bCs/>
                      <w:color w:val="auto"/>
                      <w:lang w:eastAsia="zh-CN"/>
                    </w:rPr>
                    <w:t>m³</w:t>
                  </w:r>
                  <w:r>
                    <w:rPr>
                      <w:rFonts w:hint="default" w:ascii="Times New Roman" w:hAnsi="Times New Roman" w:cs="Times New Roman"/>
                      <w:b w:val="0"/>
                      <w:bCs/>
                      <w:color w:val="auto"/>
                    </w:rPr>
                    <w:t>/a)</w:t>
                  </w:r>
                </w:p>
              </w:tc>
              <w:tc>
                <w:tcPr>
                  <w:tcW w:w="370"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废水排放</w:t>
                  </w:r>
                </w:p>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量(</w:t>
                  </w:r>
                  <w:r>
                    <w:rPr>
                      <w:rFonts w:hint="default" w:ascii="Times New Roman" w:hAnsi="Times New Roman" w:cs="Times New Roman"/>
                      <w:b w:val="0"/>
                      <w:bCs/>
                      <w:color w:val="auto"/>
                      <w:lang w:eastAsia="zh-CN"/>
                    </w:rPr>
                    <w:t>m³</w:t>
                  </w:r>
                  <w:r>
                    <w:rPr>
                      <w:rFonts w:hint="default" w:ascii="Times New Roman" w:hAnsi="Times New Roman" w:cs="Times New Roman"/>
                      <w:b w:val="0"/>
                      <w:bCs/>
                      <w:color w:val="auto"/>
                    </w:rPr>
                    <w:t>/d)</w:t>
                  </w:r>
                </w:p>
              </w:tc>
              <w:tc>
                <w:tcPr>
                  <w:tcW w:w="365"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288"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生产车间</w:t>
                  </w:r>
                </w:p>
              </w:tc>
              <w:tc>
                <w:tcPr>
                  <w:tcW w:w="375"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中空玻璃的清洗用水</w:t>
                  </w:r>
                </w:p>
              </w:tc>
              <w:tc>
                <w:tcPr>
                  <w:tcW w:w="536"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41.8</w:t>
                  </w:r>
                </w:p>
              </w:tc>
              <w:tc>
                <w:tcPr>
                  <w:tcW w:w="503"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12500</w:t>
                  </w:r>
                </w:p>
              </w:tc>
              <w:tc>
                <w:tcPr>
                  <w:tcW w:w="481" w:type="pct"/>
                  <w:vAlign w:val="center"/>
                </w:tcPr>
                <w:p>
                  <w:pPr>
                    <w:pStyle w:val="36"/>
                    <w:rPr>
                      <w:rFonts w:hint="default" w:ascii="Times New Roman" w:hAnsi="Times New Roman" w:eastAsia="仿宋" w:cs="Times New Roman"/>
                      <w:b w:val="0"/>
                      <w:bCs/>
                      <w:color w:val="auto"/>
                      <w:lang w:val="en-US" w:eastAsia="zh-CN"/>
                    </w:rPr>
                  </w:pPr>
                  <w:r>
                    <w:rPr>
                      <w:rFonts w:hint="default" w:ascii="Times New Roman" w:hAnsi="Times New Roman" w:eastAsia="仿宋" w:cs="Times New Roman"/>
                      <w:b w:val="0"/>
                      <w:bCs/>
                      <w:color w:val="auto"/>
                      <w:lang w:val="en-US" w:eastAsia="zh-CN"/>
                    </w:rPr>
                    <w:t>2</w:t>
                  </w:r>
                </w:p>
              </w:tc>
              <w:tc>
                <w:tcPr>
                  <w:tcW w:w="481"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600</w:t>
                  </w:r>
                </w:p>
              </w:tc>
              <w:tc>
                <w:tcPr>
                  <w:tcW w:w="430" w:type="pct"/>
                  <w:vAlign w:val="center"/>
                </w:tcPr>
                <w:p>
                  <w:pPr>
                    <w:pStyle w:val="36"/>
                    <w:rPr>
                      <w:rFonts w:hint="default" w:ascii="Times New Roman" w:hAnsi="Times New Roman" w:eastAsia="仿宋" w:cs="Times New Roman"/>
                      <w:b w:val="0"/>
                      <w:bCs/>
                      <w:color w:val="auto"/>
                      <w:lang w:val="en-US" w:eastAsia="zh-CN"/>
                    </w:rPr>
                  </w:pPr>
                  <w:r>
                    <w:rPr>
                      <w:rFonts w:hint="default" w:ascii="Times New Roman" w:hAnsi="Times New Roman" w:eastAsia="仿宋" w:cs="Times New Roman"/>
                      <w:b w:val="0"/>
                      <w:bCs/>
                      <w:color w:val="auto"/>
                      <w:lang w:val="en-US" w:eastAsia="zh-CN"/>
                    </w:rPr>
                    <w:t>39.8</w:t>
                  </w:r>
                </w:p>
              </w:tc>
              <w:tc>
                <w:tcPr>
                  <w:tcW w:w="372"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11940</w:t>
                  </w:r>
                </w:p>
              </w:tc>
              <w:tc>
                <w:tcPr>
                  <w:tcW w:w="336"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457"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370"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65"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通过沉淀池沉淀后回用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288" w:type="pct"/>
                  <w:vMerge w:val="restar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生活用排水</w:t>
                  </w:r>
                </w:p>
              </w:tc>
              <w:tc>
                <w:tcPr>
                  <w:tcW w:w="375"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员工食堂</w:t>
                  </w:r>
                </w:p>
              </w:tc>
              <w:tc>
                <w:tcPr>
                  <w:tcW w:w="536"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0.6</w:t>
                  </w:r>
                </w:p>
              </w:tc>
              <w:tc>
                <w:tcPr>
                  <w:tcW w:w="503"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180</w:t>
                  </w:r>
                </w:p>
              </w:tc>
              <w:tc>
                <w:tcPr>
                  <w:tcW w:w="481"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0.6</w:t>
                  </w:r>
                </w:p>
              </w:tc>
              <w:tc>
                <w:tcPr>
                  <w:tcW w:w="481"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180</w:t>
                  </w:r>
                </w:p>
              </w:tc>
              <w:tc>
                <w:tcPr>
                  <w:tcW w:w="430"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72"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36"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0.48</w:t>
                  </w:r>
                </w:p>
              </w:tc>
              <w:tc>
                <w:tcPr>
                  <w:tcW w:w="457"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144</w:t>
                  </w:r>
                </w:p>
              </w:tc>
              <w:tc>
                <w:tcPr>
                  <w:tcW w:w="370"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65" w:type="pct"/>
                  <w:vMerge w:val="restar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处理后用于绿化、道路浇洒，不</w:t>
                  </w:r>
                </w:p>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288" w:type="pct"/>
                  <w:vMerge w:val="continue"/>
                  <w:tcBorders>
                    <w:top w:val="nil"/>
                  </w:tcBorders>
                  <w:vAlign w:val="center"/>
                </w:tcPr>
                <w:p>
                  <w:pPr>
                    <w:pStyle w:val="36"/>
                    <w:rPr>
                      <w:rFonts w:hint="default" w:ascii="Times New Roman" w:hAnsi="Times New Roman" w:cs="Times New Roman"/>
                      <w:b w:val="0"/>
                      <w:bCs/>
                      <w:color w:val="auto"/>
                    </w:rPr>
                  </w:pPr>
                </w:p>
              </w:tc>
              <w:tc>
                <w:tcPr>
                  <w:tcW w:w="375"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办公、住宿</w:t>
                  </w:r>
                </w:p>
              </w:tc>
              <w:tc>
                <w:tcPr>
                  <w:tcW w:w="536"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2.4</w:t>
                  </w:r>
                </w:p>
              </w:tc>
              <w:tc>
                <w:tcPr>
                  <w:tcW w:w="503"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720</w:t>
                  </w:r>
                </w:p>
              </w:tc>
              <w:tc>
                <w:tcPr>
                  <w:tcW w:w="481" w:type="pct"/>
                  <w:vAlign w:val="center"/>
                </w:tcPr>
                <w:p>
                  <w:pPr>
                    <w:pStyle w:val="36"/>
                    <w:ind w:firstLine="0" w:firstLineChars="0"/>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2.4</w:t>
                  </w:r>
                </w:p>
              </w:tc>
              <w:tc>
                <w:tcPr>
                  <w:tcW w:w="481" w:type="pct"/>
                  <w:vAlign w:val="center"/>
                </w:tcPr>
                <w:p>
                  <w:pPr>
                    <w:pStyle w:val="36"/>
                    <w:ind w:firstLine="0" w:firstLineChars="0"/>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720</w:t>
                  </w:r>
                </w:p>
              </w:tc>
              <w:tc>
                <w:tcPr>
                  <w:tcW w:w="430"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72"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36"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1.92</w:t>
                  </w:r>
                </w:p>
              </w:tc>
              <w:tc>
                <w:tcPr>
                  <w:tcW w:w="457"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576</w:t>
                  </w:r>
                </w:p>
              </w:tc>
              <w:tc>
                <w:tcPr>
                  <w:tcW w:w="370"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65" w:type="pct"/>
                  <w:vMerge w:val="continue"/>
                  <w:tcBorders>
                    <w:top w:val="nil"/>
                  </w:tcBorders>
                  <w:vAlign w:val="center"/>
                </w:tcPr>
                <w:p>
                  <w:pPr>
                    <w:pStyle w:val="36"/>
                    <w:rPr>
                      <w:rFonts w:hint="default" w:ascii="Times New Roman" w:hAnsi="Times New Roman" w:cs="Times New Roman"/>
                      <w:b w:val="0"/>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288"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合计</w:t>
                  </w:r>
                </w:p>
              </w:tc>
              <w:tc>
                <w:tcPr>
                  <w:tcW w:w="375"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536"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44.8</w:t>
                  </w:r>
                </w:p>
              </w:tc>
              <w:tc>
                <w:tcPr>
                  <w:tcW w:w="503"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13400</w:t>
                  </w:r>
                </w:p>
              </w:tc>
              <w:tc>
                <w:tcPr>
                  <w:tcW w:w="481" w:type="pct"/>
                  <w:vAlign w:val="center"/>
                </w:tcPr>
                <w:p>
                  <w:pPr>
                    <w:pStyle w:val="36"/>
                    <w:rPr>
                      <w:rFonts w:hint="default" w:ascii="Times New Roman" w:hAnsi="Times New Roman" w:eastAsia="仿宋" w:cs="Times New Roman"/>
                      <w:b w:val="0"/>
                      <w:bCs/>
                      <w:color w:val="auto"/>
                      <w:lang w:val="en-US" w:eastAsia="zh-CN"/>
                    </w:rPr>
                  </w:pPr>
                  <w:r>
                    <w:rPr>
                      <w:rFonts w:hint="default" w:ascii="Times New Roman" w:hAnsi="Times New Roman" w:eastAsia="仿宋" w:cs="Times New Roman"/>
                      <w:b w:val="0"/>
                      <w:bCs/>
                      <w:color w:val="auto"/>
                      <w:lang w:val="en-US" w:eastAsia="zh-CN"/>
                    </w:rPr>
                    <w:t>5</w:t>
                  </w:r>
                </w:p>
              </w:tc>
              <w:tc>
                <w:tcPr>
                  <w:tcW w:w="481"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1500</w:t>
                  </w:r>
                </w:p>
              </w:tc>
              <w:tc>
                <w:tcPr>
                  <w:tcW w:w="430" w:type="pct"/>
                  <w:vAlign w:val="center"/>
                </w:tcPr>
                <w:p>
                  <w:pPr>
                    <w:pStyle w:val="36"/>
                    <w:rPr>
                      <w:rFonts w:hint="default" w:ascii="Times New Roman" w:hAnsi="Times New Roman" w:eastAsia="仿宋" w:cs="Times New Roman"/>
                      <w:b w:val="0"/>
                      <w:bCs/>
                      <w:color w:val="auto"/>
                      <w:lang w:val="en-US" w:eastAsia="zh-CN"/>
                    </w:rPr>
                  </w:pPr>
                  <w:r>
                    <w:rPr>
                      <w:rFonts w:hint="default" w:ascii="Times New Roman" w:hAnsi="Times New Roman" w:eastAsia="仿宋" w:cs="Times New Roman"/>
                      <w:b w:val="0"/>
                      <w:bCs/>
                      <w:color w:val="auto"/>
                      <w:lang w:val="en-US" w:eastAsia="zh-CN"/>
                    </w:rPr>
                    <w:t>39.8</w:t>
                  </w:r>
                </w:p>
              </w:tc>
              <w:tc>
                <w:tcPr>
                  <w:tcW w:w="372" w:type="pct"/>
                  <w:vAlign w:val="center"/>
                </w:tcPr>
                <w:p>
                  <w:pPr>
                    <w:pStyle w:val="36"/>
                    <w:jc w:val="left"/>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11940</w:t>
                  </w:r>
                </w:p>
              </w:tc>
              <w:tc>
                <w:tcPr>
                  <w:tcW w:w="336"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2.4</w:t>
                  </w:r>
                </w:p>
              </w:tc>
              <w:tc>
                <w:tcPr>
                  <w:tcW w:w="457"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720</w:t>
                  </w:r>
                </w:p>
              </w:tc>
              <w:tc>
                <w:tcPr>
                  <w:tcW w:w="370"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65"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全部回用不外排</w:t>
                  </w:r>
                </w:p>
              </w:tc>
            </w:tr>
          </w:tbl>
          <w:p>
            <w:pPr>
              <w:pStyle w:val="36"/>
              <w:rPr>
                <w:rFonts w:hint="default" w:ascii="Times New Roman" w:hAnsi="Times New Roman" w:cs="Times New Roman"/>
                <w:color w:val="auto"/>
              </w:rPr>
            </w:pPr>
            <w:r>
              <w:rPr>
                <w:rFonts w:hint="default" w:ascii="Times New Roman" w:hAnsi="Times New Roman" w:cs="Times New Roman"/>
                <w:color w:val="auto"/>
                <w:lang w:val="en-US" w:eastAsia="zh-CN"/>
              </w:rPr>
              <w:t>2-6</w:t>
            </w:r>
            <w:r>
              <w:rPr>
                <w:rFonts w:hint="default" w:ascii="Times New Roman" w:hAnsi="Times New Roman" w:cs="Times New Roman"/>
                <w:color w:val="auto"/>
              </w:rPr>
              <w:t>远期项目水平衡见下表</w:t>
            </w:r>
          </w:p>
          <w:tbl>
            <w:tblPr>
              <w:tblStyle w:val="28"/>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20"/>
              <w:gridCol w:w="605"/>
              <w:gridCol w:w="900"/>
              <w:gridCol w:w="887"/>
              <w:gridCol w:w="605"/>
              <w:gridCol w:w="595"/>
              <w:gridCol w:w="587"/>
              <w:gridCol w:w="597"/>
              <w:gridCol w:w="581"/>
              <w:gridCol w:w="570"/>
              <w:gridCol w:w="611"/>
              <w:gridCol w:w="1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02"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用水单</w:t>
                  </w:r>
                </w:p>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元</w:t>
                  </w:r>
                </w:p>
              </w:tc>
              <w:tc>
                <w:tcPr>
                  <w:tcW w:w="382"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用水用途</w:t>
                  </w:r>
                </w:p>
              </w:tc>
              <w:tc>
                <w:tcPr>
                  <w:tcW w:w="567" w:type="pct"/>
                  <w:shd w:val="clear" w:color="auto" w:fill="F2F2F2"/>
                  <w:vAlign w:val="center"/>
                </w:tcPr>
                <w:p>
                  <w:pPr>
                    <w:pStyle w:val="36"/>
                    <w:rPr>
                      <w:rFonts w:hint="default" w:ascii="Times New Roman" w:hAnsi="Times New Roman" w:eastAsia="仿宋" w:cs="Times New Roman"/>
                      <w:b w:val="0"/>
                      <w:bCs/>
                      <w:color w:val="auto"/>
                    </w:rPr>
                  </w:pPr>
                  <w:r>
                    <w:rPr>
                      <w:rFonts w:hint="default" w:ascii="Times New Roman" w:hAnsi="Times New Roman" w:cs="Times New Roman"/>
                      <w:b w:val="0"/>
                      <w:bCs/>
                      <w:color w:val="auto"/>
                    </w:rPr>
                    <w:t>用水量（</w:t>
                  </w:r>
                  <w:r>
                    <w:rPr>
                      <w:rFonts w:hint="default" w:ascii="Times New Roman" w:hAnsi="Times New Roman" w:cs="Times New Roman"/>
                      <w:b w:val="0"/>
                      <w:bCs/>
                      <w:color w:val="auto"/>
                      <w:lang w:eastAsia="zh-CN"/>
                    </w:rPr>
                    <w:t>m³</w:t>
                  </w:r>
                  <w:r>
                    <w:rPr>
                      <w:rFonts w:hint="default" w:ascii="Times New Roman" w:hAnsi="Times New Roman" w:cs="Times New Roman"/>
                      <w:b w:val="0"/>
                      <w:bCs/>
                      <w:color w:val="auto"/>
                    </w:rPr>
                    <w:t>/d）</w:t>
                  </w:r>
                </w:p>
              </w:tc>
              <w:tc>
                <w:tcPr>
                  <w:tcW w:w="559"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用水量（</w:t>
                  </w:r>
                  <w:r>
                    <w:rPr>
                      <w:rFonts w:hint="default" w:ascii="Times New Roman" w:hAnsi="Times New Roman" w:cs="Times New Roman"/>
                      <w:b w:val="0"/>
                      <w:bCs/>
                      <w:color w:val="auto"/>
                      <w:lang w:eastAsia="zh-CN"/>
                    </w:rPr>
                    <w:t>m³</w:t>
                  </w:r>
                  <w:r>
                    <w:rPr>
                      <w:rFonts w:hint="default" w:ascii="Times New Roman" w:hAnsi="Times New Roman" w:cs="Times New Roman"/>
                      <w:b w:val="0"/>
                      <w:bCs/>
                      <w:color w:val="auto"/>
                    </w:rPr>
                    <w:t>/a）</w:t>
                  </w:r>
                </w:p>
              </w:tc>
              <w:tc>
                <w:tcPr>
                  <w:tcW w:w="381"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新鲜水补充</w:t>
                  </w:r>
                </w:p>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水量(</w:t>
                  </w:r>
                  <w:r>
                    <w:rPr>
                      <w:rFonts w:hint="default" w:ascii="Times New Roman" w:hAnsi="Times New Roman" w:cs="Times New Roman"/>
                      <w:b w:val="0"/>
                      <w:bCs/>
                      <w:color w:val="auto"/>
                      <w:lang w:eastAsia="zh-CN"/>
                    </w:rPr>
                    <w:t>m³</w:t>
                  </w:r>
                  <w:r>
                    <w:rPr>
                      <w:rFonts w:hint="default" w:ascii="Times New Roman" w:hAnsi="Times New Roman" w:cs="Times New Roman"/>
                      <w:b w:val="0"/>
                      <w:bCs/>
                      <w:color w:val="auto"/>
                    </w:rPr>
                    <w:t>/d)</w:t>
                  </w:r>
                </w:p>
              </w:tc>
              <w:tc>
                <w:tcPr>
                  <w:tcW w:w="375"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新鲜水补充</w:t>
                  </w:r>
                </w:p>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水量(</w:t>
                  </w:r>
                  <w:r>
                    <w:rPr>
                      <w:rFonts w:hint="default" w:ascii="Times New Roman" w:hAnsi="Times New Roman" w:cs="Times New Roman"/>
                      <w:b w:val="0"/>
                      <w:bCs/>
                      <w:color w:val="auto"/>
                      <w:lang w:eastAsia="zh-CN"/>
                    </w:rPr>
                    <w:t>m³</w:t>
                  </w:r>
                  <w:r>
                    <w:rPr>
                      <w:rFonts w:hint="default" w:ascii="Times New Roman" w:hAnsi="Times New Roman" w:cs="Times New Roman"/>
                      <w:b w:val="0"/>
                      <w:bCs/>
                      <w:color w:val="auto"/>
                    </w:rPr>
                    <w:t>/a)</w:t>
                  </w:r>
                </w:p>
              </w:tc>
              <w:tc>
                <w:tcPr>
                  <w:tcW w:w="370"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回用水用量</w:t>
                  </w:r>
                </w:p>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w:t>
                  </w:r>
                  <w:r>
                    <w:rPr>
                      <w:rFonts w:hint="default" w:ascii="Times New Roman" w:hAnsi="Times New Roman" w:cs="Times New Roman"/>
                      <w:b w:val="0"/>
                      <w:bCs/>
                      <w:color w:val="auto"/>
                      <w:lang w:eastAsia="zh-CN"/>
                    </w:rPr>
                    <w:t>m³</w:t>
                  </w:r>
                  <w:r>
                    <w:rPr>
                      <w:rFonts w:hint="default" w:ascii="Times New Roman" w:hAnsi="Times New Roman" w:cs="Times New Roman"/>
                      <w:b w:val="0"/>
                      <w:bCs/>
                      <w:color w:val="auto"/>
                      <w:vertAlign w:val="superscript"/>
                    </w:rPr>
                    <w:t>/</w:t>
                  </w:r>
                  <w:r>
                    <w:rPr>
                      <w:rFonts w:hint="default" w:ascii="Times New Roman" w:hAnsi="Times New Roman" w:cs="Times New Roman"/>
                      <w:b w:val="0"/>
                      <w:bCs/>
                      <w:color w:val="auto"/>
                    </w:rPr>
                    <w:t>d)</w:t>
                  </w:r>
                </w:p>
              </w:tc>
              <w:tc>
                <w:tcPr>
                  <w:tcW w:w="376"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回用水用量</w:t>
                  </w:r>
                </w:p>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w:t>
                  </w:r>
                  <w:r>
                    <w:rPr>
                      <w:rFonts w:hint="default" w:ascii="Times New Roman" w:hAnsi="Times New Roman" w:cs="Times New Roman"/>
                      <w:b w:val="0"/>
                      <w:bCs/>
                      <w:color w:val="auto"/>
                      <w:lang w:eastAsia="zh-CN"/>
                    </w:rPr>
                    <w:t>m³</w:t>
                  </w:r>
                  <w:r>
                    <w:rPr>
                      <w:rFonts w:hint="default" w:ascii="Times New Roman" w:hAnsi="Times New Roman" w:cs="Times New Roman"/>
                      <w:b w:val="0"/>
                      <w:bCs/>
                      <w:color w:val="auto"/>
                      <w:vertAlign w:val="superscript"/>
                    </w:rPr>
                    <w:t>/</w:t>
                  </w:r>
                  <w:r>
                    <w:rPr>
                      <w:rFonts w:hint="default" w:ascii="Times New Roman" w:hAnsi="Times New Roman" w:cs="Times New Roman"/>
                      <w:b w:val="0"/>
                      <w:bCs/>
                      <w:color w:val="auto"/>
                    </w:rPr>
                    <w:t>a)</w:t>
                  </w:r>
                </w:p>
              </w:tc>
              <w:tc>
                <w:tcPr>
                  <w:tcW w:w="366"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废水产生</w:t>
                  </w:r>
                </w:p>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量(</w:t>
                  </w:r>
                  <w:r>
                    <w:rPr>
                      <w:rFonts w:hint="default" w:ascii="Times New Roman" w:hAnsi="Times New Roman" w:cs="Times New Roman"/>
                      <w:b w:val="0"/>
                      <w:bCs/>
                      <w:color w:val="auto"/>
                      <w:lang w:eastAsia="zh-CN"/>
                    </w:rPr>
                    <w:t>m³</w:t>
                  </w:r>
                  <w:r>
                    <w:rPr>
                      <w:rFonts w:hint="default" w:ascii="Times New Roman" w:hAnsi="Times New Roman" w:cs="Times New Roman"/>
                      <w:b w:val="0"/>
                      <w:bCs/>
                      <w:color w:val="auto"/>
                    </w:rPr>
                    <w:t>/d)</w:t>
                  </w:r>
                </w:p>
              </w:tc>
              <w:tc>
                <w:tcPr>
                  <w:tcW w:w="359"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废水产生</w:t>
                  </w:r>
                </w:p>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量(</w:t>
                  </w:r>
                  <w:r>
                    <w:rPr>
                      <w:rFonts w:hint="default" w:ascii="Times New Roman" w:hAnsi="Times New Roman" w:cs="Times New Roman"/>
                      <w:b w:val="0"/>
                      <w:bCs/>
                      <w:color w:val="auto"/>
                      <w:lang w:eastAsia="zh-CN"/>
                    </w:rPr>
                    <w:t>m³</w:t>
                  </w:r>
                  <w:r>
                    <w:rPr>
                      <w:rFonts w:hint="default" w:ascii="Times New Roman" w:hAnsi="Times New Roman" w:cs="Times New Roman"/>
                      <w:b w:val="0"/>
                      <w:bCs/>
                      <w:color w:val="auto"/>
                    </w:rPr>
                    <w:t>/a)</w:t>
                  </w:r>
                </w:p>
              </w:tc>
              <w:tc>
                <w:tcPr>
                  <w:tcW w:w="385"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废水排放</w:t>
                  </w:r>
                </w:p>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量(</w:t>
                  </w:r>
                  <w:r>
                    <w:rPr>
                      <w:rFonts w:hint="default" w:ascii="Times New Roman" w:hAnsi="Times New Roman" w:cs="Times New Roman"/>
                      <w:b w:val="0"/>
                      <w:bCs/>
                      <w:color w:val="auto"/>
                      <w:lang w:eastAsia="zh-CN"/>
                    </w:rPr>
                    <w:t>m³</w:t>
                  </w:r>
                  <w:r>
                    <w:rPr>
                      <w:rFonts w:hint="default" w:ascii="Times New Roman" w:hAnsi="Times New Roman" w:cs="Times New Roman"/>
                      <w:b w:val="0"/>
                      <w:bCs/>
                      <w:color w:val="auto"/>
                    </w:rPr>
                    <w:t>/d)</w:t>
                  </w:r>
                </w:p>
              </w:tc>
              <w:tc>
                <w:tcPr>
                  <w:tcW w:w="671" w:type="pct"/>
                  <w:shd w:val="clear" w:color="auto" w:fill="F2F2F2"/>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202"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生产车间</w:t>
                  </w:r>
                </w:p>
              </w:tc>
              <w:tc>
                <w:tcPr>
                  <w:tcW w:w="382"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中空玻璃的清洗用水</w:t>
                  </w:r>
                </w:p>
              </w:tc>
              <w:tc>
                <w:tcPr>
                  <w:tcW w:w="567"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41.8</w:t>
                  </w:r>
                </w:p>
              </w:tc>
              <w:tc>
                <w:tcPr>
                  <w:tcW w:w="559"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12500</w:t>
                  </w:r>
                </w:p>
              </w:tc>
              <w:tc>
                <w:tcPr>
                  <w:tcW w:w="381" w:type="pct"/>
                  <w:vAlign w:val="center"/>
                </w:tcPr>
                <w:p>
                  <w:pPr>
                    <w:pStyle w:val="36"/>
                    <w:rPr>
                      <w:rFonts w:hint="default" w:ascii="Times New Roman" w:hAnsi="Times New Roman" w:eastAsia="仿宋" w:cs="Times New Roman"/>
                      <w:b w:val="0"/>
                      <w:bCs/>
                      <w:color w:val="auto"/>
                      <w:lang w:val="en-US" w:eastAsia="zh-CN"/>
                    </w:rPr>
                  </w:pPr>
                  <w:r>
                    <w:rPr>
                      <w:rFonts w:hint="default" w:ascii="Times New Roman" w:hAnsi="Times New Roman" w:eastAsia="仿宋" w:cs="Times New Roman"/>
                      <w:b w:val="0"/>
                      <w:bCs/>
                      <w:color w:val="auto"/>
                      <w:lang w:val="en-US" w:eastAsia="zh-CN"/>
                    </w:rPr>
                    <w:t>2</w:t>
                  </w:r>
                </w:p>
              </w:tc>
              <w:tc>
                <w:tcPr>
                  <w:tcW w:w="375"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600</w:t>
                  </w:r>
                </w:p>
              </w:tc>
              <w:tc>
                <w:tcPr>
                  <w:tcW w:w="370" w:type="pct"/>
                  <w:vAlign w:val="center"/>
                </w:tcPr>
                <w:p>
                  <w:pPr>
                    <w:pStyle w:val="36"/>
                    <w:rPr>
                      <w:rFonts w:hint="default" w:ascii="Times New Roman" w:hAnsi="Times New Roman" w:eastAsia="仿宋" w:cs="Times New Roman"/>
                      <w:b w:val="0"/>
                      <w:bCs/>
                      <w:color w:val="auto"/>
                      <w:lang w:val="en-US" w:eastAsia="zh-CN"/>
                    </w:rPr>
                  </w:pPr>
                  <w:r>
                    <w:rPr>
                      <w:rFonts w:hint="default" w:ascii="Times New Roman" w:hAnsi="Times New Roman" w:eastAsia="仿宋" w:cs="Times New Roman"/>
                      <w:b w:val="0"/>
                      <w:bCs/>
                      <w:color w:val="auto"/>
                      <w:lang w:val="en-US" w:eastAsia="zh-CN"/>
                    </w:rPr>
                    <w:t>39.8</w:t>
                  </w:r>
                </w:p>
              </w:tc>
              <w:tc>
                <w:tcPr>
                  <w:tcW w:w="376"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11940</w:t>
                  </w:r>
                </w:p>
              </w:tc>
              <w:tc>
                <w:tcPr>
                  <w:tcW w:w="366"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359"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385"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671"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通过沉淀池沉淀后回用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202" w:type="pct"/>
                  <w:vMerge w:val="restar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生活用排水</w:t>
                  </w:r>
                </w:p>
              </w:tc>
              <w:tc>
                <w:tcPr>
                  <w:tcW w:w="382"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员工食堂</w:t>
                  </w:r>
                </w:p>
              </w:tc>
              <w:tc>
                <w:tcPr>
                  <w:tcW w:w="567"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0.6</w:t>
                  </w:r>
                </w:p>
              </w:tc>
              <w:tc>
                <w:tcPr>
                  <w:tcW w:w="559"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180</w:t>
                  </w:r>
                </w:p>
              </w:tc>
              <w:tc>
                <w:tcPr>
                  <w:tcW w:w="381"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0.6</w:t>
                  </w:r>
                </w:p>
              </w:tc>
              <w:tc>
                <w:tcPr>
                  <w:tcW w:w="375"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180</w:t>
                  </w:r>
                </w:p>
              </w:tc>
              <w:tc>
                <w:tcPr>
                  <w:tcW w:w="370"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76"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66"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0.48</w:t>
                  </w:r>
                </w:p>
              </w:tc>
              <w:tc>
                <w:tcPr>
                  <w:tcW w:w="359"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144</w:t>
                  </w:r>
                </w:p>
              </w:tc>
              <w:tc>
                <w:tcPr>
                  <w:tcW w:w="385" w:type="pct"/>
                  <w:vAlign w:val="center"/>
                </w:tcPr>
                <w:p>
                  <w:pPr>
                    <w:pStyle w:val="36"/>
                    <w:ind w:firstLine="0" w:firstLineChars="0"/>
                    <w:rPr>
                      <w:rFonts w:hint="default" w:ascii="Times New Roman" w:hAnsi="Times New Roman" w:cs="Times New Roman"/>
                      <w:b w:val="0"/>
                      <w:bCs/>
                      <w:color w:val="auto"/>
                    </w:rPr>
                  </w:pPr>
                  <w:r>
                    <w:rPr>
                      <w:rFonts w:hint="default" w:ascii="Times New Roman" w:hAnsi="Times New Roman" w:cs="Times New Roman"/>
                      <w:b w:val="0"/>
                      <w:bCs/>
                      <w:color w:val="auto"/>
                    </w:rPr>
                    <w:t>144</w:t>
                  </w:r>
                </w:p>
              </w:tc>
              <w:tc>
                <w:tcPr>
                  <w:tcW w:w="671" w:type="pct"/>
                  <w:vMerge w:val="restar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食堂含油废水经隔油处理后与经化粪池处理后的生活污水一起排入园区污水</w:t>
                  </w:r>
                </w:p>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管网，最后进入园区污水处理厂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202" w:type="pct"/>
                  <w:vMerge w:val="continue"/>
                  <w:tcBorders>
                    <w:top w:val="nil"/>
                  </w:tcBorders>
                  <w:vAlign w:val="center"/>
                </w:tcPr>
                <w:p>
                  <w:pPr>
                    <w:pStyle w:val="36"/>
                    <w:rPr>
                      <w:rFonts w:hint="default" w:ascii="Times New Roman" w:hAnsi="Times New Roman" w:cs="Times New Roman"/>
                      <w:b w:val="0"/>
                      <w:bCs/>
                      <w:color w:val="auto"/>
                    </w:rPr>
                  </w:pPr>
                </w:p>
              </w:tc>
              <w:tc>
                <w:tcPr>
                  <w:tcW w:w="382"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办公、住宿</w:t>
                  </w:r>
                </w:p>
              </w:tc>
              <w:tc>
                <w:tcPr>
                  <w:tcW w:w="567"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2.4</w:t>
                  </w:r>
                </w:p>
              </w:tc>
              <w:tc>
                <w:tcPr>
                  <w:tcW w:w="559"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720</w:t>
                  </w:r>
                </w:p>
              </w:tc>
              <w:tc>
                <w:tcPr>
                  <w:tcW w:w="381" w:type="pct"/>
                  <w:vAlign w:val="center"/>
                </w:tcPr>
                <w:p>
                  <w:pPr>
                    <w:pStyle w:val="36"/>
                    <w:ind w:firstLine="0" w:firstLineChars="0"/>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2.4</w:t>
                  </w:r>
                </w:p>
              </w:tc>
              <w:tc>
                <w:tcPr>
                  <w:tcW w:w="375" w:type="pct"/>
                  <w:vAlign w:val="center"/>
                </w:tcPr>
                <w:p>
                  <w:pPr>
                    <w:pStyle w:val="36"/>
                    <w:ind w:firstLine="0" w:firstLineChars="0"/>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720</w:t>
                  </w:r>
                </w:p>
              </w:tc>
              <w:tc>
                <w:tcPr>
                  <w:tcW w:w="370"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76"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66"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1.92</w:t>
                  </w:r>
                </w:p>
              </w:tc>
              <w:tc>
                <w:tcPr>
                  <w:tcW w:w="359"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576</w:t>
                  </w:r>
                </w:p>
              </w:tc>
              <w:tc>
                <w:tcPr>
                  <w:tcW w:w="385" w:type="pct"/>
                  <w:vAlign w:val="center"/>
                </w:tcPr>
                <w:p>
                  <w:pPr>
                    <w:pStyle w:val="36"/>
                    <w:ind w:firstLine="0" w:firstLineChars="0"/>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576</w:t>
                  </w:r>
                </w:p>
              </w:tc>
              <w:tc>
                <w:tcPr>
                  <w:tcW w:w="671" w:type="pct"/>
                  <w:vMerge w:val="continue"/>
                  <w:vAlign w:val="center"/>
                </w:tcPr>
                <w:p>
                  <w:pPr>
                    <w:pStyle w:val="36"/>
                    <w:rPr>
                      <w:rFonts w:hint="default" w:ascii="Times New Roman" w:hAnsi="Times New Roman" w:cs="Times New Roman"/>
                      <w:b w:val="0"/>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202"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合计</w:t>
                  </w:r>
                </w:p>
              </w:tc>
              <w:tc>
                <w:tcPr>
                  <w:tcW w:w="382"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567"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44.8</w:t>
                  </w:r>
                </w:p>
              </w:tc>
              <w:tc>
                <w:tcPr>
                  <w:tcW w:w="559"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13400</w:t>
                  </w:r>
                </w:p>
              </w:tc>
              <w:tc>
                <w:tcPr>
                  <w:tcW w:w="381" w:type="pct"/>
                  <w:vAlign w:val="center"/>
                </w:tcPr>
                <w:p>
                  <w:pPr>
                    <w:pStyle w:val="36"/>
                    <w:rPr>
                      <w:rFonts w:hint="default" w:ascii="Times New Roman" w:hAnsi="Times New Roman" w:eastAsia="仿宋" w:cs="Times New Roman"/>
                      <w:b w:val="0"/>
                      <w:bCs/>
                      <w:color w:val="auto"/>
                      <w:lang w:val="en-US" w:eastAsia="zh-CN"/>
                    </w:rPr>
                  </w:pPr>
                  <w:r>
                    <w:rPr>
                      <w:rFonts w:hint="default" w:ascii="Times New Roman" w:hAnsi="Times New Roman" w:eastAsia="仿宋" w:cs="Times New Roman"/>
                      <w:b w:val="0"/>
                      <w:bCs/>
                      <w:color w:val="auto"/>
                      <w:lang w:val="en-US" w:eastAsia="zh-CN"/>
                    </w:rPr>
                    <w:t>5</w:t>
                  </w:r>
                </w:p>
              </w:tc>
              <w:tc>
                <w:tcPr>
                  <w:tcW w:w="375"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1500</w:t>
                  </w:r>
                </w:p>
              </w:tc>
              <w:tc>
                <w:tcPr>
                  <w:tcW w:w="370" w:type="pct"/>
                  <w:vAlign w:val="center"/>
                </w:tcPr>
                <w:p>
                  <w:pPr>
                    <w:pStyle w:val="36"/>
                    <w:rPr>
                      <w:rFonts w:hint="default" w:ascii="Times New Roman" w:hAnsi="Times New Roman" w:eastAsia="仿宋" w:cs="Times New Roman"/>
                      <w:b w:val="0"/>
                      <w:bCs/>
                      <w:color w:val="auto"/>
                      <w:lang w:val="en-US" w:eastAsia="zh-CN"/>
                    </w:rPr>
                  </w:pPr>
                  <w:r>
                    <w:rPr>
                      <w:rFonts w:hint="default" w:ascii="Times New Roman" w:hAnsi="Times New Roman" w:eastAsia="仿宋" w:cs="Times New Roman"/>
                      <w:b w:val="0"/>
                      <w:bCs/>
                      <w:color w:val="auto"/>
                      <w:lang w:val="en-US" w:eastAsia="zh-CN"/>
                    </w:rPr>
                    <w:t>39.8</w:t>
                  </w:r>
                </w:p>
              </w:tc>
              <w:tc>
                <w:tcPr>
                  <w:tcW w:w="376" w:type="pct"/>
                  <w:vAlign w:val="center"/>
                </w:tcPr>
                <w:p>
                  <w:pPr>
                    <w:pStyle w:val="36"/>
                    <w:jc w:val="left"/>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11940</w:t>
                  </w:r>
                </w:p>
              </w:tc>
              <w:tc>
                <w:tcPr>
                  <w:tcW w:w="366"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2.4</w:t>
                  </w:r>
                </w:p>
              </w:tc>
              <w:tc>
                <w:tcPr>
                  <w:tcW w:w="359" w:type="pct"/>
                  <w:vAlign w:val="center"/>
                </w:tcPr>
                <w:p>
                  <w:pPr>
                    <w:pStyle w:val="36"/>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720</w:t>
                  </w:r>
                </w:p>
              </w:tc>
              <w:tc>
                <w:tcPr>
                  <w:tcW w:w="385" w:type="pct"/>
                  <w:vAlign w:val="center"/>
                </w:tcPr>
                <w:p>
                  <w:pPr>
                    <w:pStyle w:val="36"/>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720</w:t>
                  </w:r>
                </w:p>
              </w:tc>
              <w:tc>
                <w:tcPr>
                  <w:tcW w:w="671" w:type="pct"/>
                  <w:vMerge w:val="continue"/>
                  <w:vAlign w:val="center"/>
                </w:tcPr>
                <w:p>
                  <w:pPr>
                    <w:pStyle w:val="36"/>
                    <w:rPr>
                      <w:rFonts w:hint="default" w:ascii="Times New Roman" w:hAnsi="Times New Roman" w:eastAsia="宋体" w:cs="Times New Roman"/>
                      <w:b w:val="0"/>
                      <w:bCs/>
                      <w:color w:val="auto"/>
                      <w:lang w:val="en-US" w:eastAsia="zh-CN"/>
                    </w:rPr>
                  </w:pPr>
                </w:p>
              </w:tc>
            </w:tr>
          </w:tbl>
          <w:p>
            <w:pPr>
              <w:bidi w:val="0"/>
              <w:rPr>
                <w:rFonts w:hint="default" w:ascii="Times New Roman" w:hAnsi="Times New Roman" w:cs="Times New Roman"/>
              </w:rPr>
            </w:pPr>
            <w:r>
              <w:rPr>
                <w:rFonts w:hint="default" w:ascii="Times New Roman" w:hAnsi="Times New Roman" w:cs="Times New Roman"/>
              </w:rPr>
              <w:t>①近期</w:t>
            </w:r>
          </w:p>
          <w:p>
            <w:pPr>
              <w:bidi w:val="0"/>
              <w:rPr>
                <w:rFonts w:hint="default" w:ascii="Times New Roman" w:hAnsi="Times New Roman" w:eastAsia="宋体" w:cs="Times New Roman"/>
                <w:lang w:eastAsia="zh-CN"/>
              </w:rPr>
            </w:pPr>
            <w:r>
              <w:rPr>
                <w:rFonts w:hint="default" w:ascii="Times New Roman" w:hAnsi="Times New Roman" w:cs="Times New Roman"/>
              </w:rPr>
              <w:t>食堂废水经</w:t>
            </w:r>
            <w:r>
              <w:rPr>
                <w:rFonts w:hint="eastAsia" w:cs="Times New Roman"/>
                <w:lang w:eastAsia="zh-CN"/>
              </w:rPr>
              <w:t>油水分离器</w:t>
            </w:r>
            <w:r>
              <w:rPr>
                <w:rFonts w:hint="default" w:ascii="Times New Roman" w:hAnsi="Times New Roman" w:cs="Times New Roman"/>
              </w:rPr>
              <w:t>处理后与其他生活污水一起排入依托</w:t>
            </w:r>
            <w:r>
              <w:rPr>
                <w:rFonts w:hint="default" w:ascii="Times New Roman" w:hAnsi="Times New Roman" w:cs="Times New Roman"/>
                <w:lang w:eastAsia="zh-CN"/>
              </w:rPr>
              <w:t>云南鑫成鹏高分子科技有限公司</w:t>
            </w:r>
            <w:r>
              <w:rPr>
                <w:rFonts w:hint="default" w:ascii="Times New Roman" w:hAnsi="Times New Roman" w:cs="Times New Roman"/>
              </w:rPr>
              <w:t>3号厂房的化粪池处理后，最终进入</w:t>
            </w:r>
            <w:r>
              <w:rPr>
                <w:rFonts w:hint="default" w:ascii="Times New Roman" w:hAnsi="Times New Roman" w:cs="Times New Roman"/>
                <w:lang w:eastAsia="zh-CN"/>
              </w:rPr>
              <w:t>云南鑫成鹏高分子科技有限公司</w:t>
            </w:r>
            <w:r>
              <w:rPr>
                <w:rFonts w:hint="default" w:ascii="Times New Roman" w:hAnsi="Times New Roman" w:cs="Times New Roman"/>
              </w:rPr>
              <w:t>自建的一体化污水处理设施处理达标后晴天回用于</w:t>
            </w:r>
            <w:r>
              <w:rPr>
                <w:rFonts w:hint="default" w:ascii="Times New Roman" w:hAnsi="Times New Roman" w:cs="Times New Roman"/>
                <w:lang w:eastAsia="zh-CN"/>
              </w:rPr>
              <w:t>云南鑫成鹏高分子科技有限公司</w:t>
            </w:r>
            <w:r>
              <w:rPr>
                <w:rFonts w:hint="default" w:ascii="Times New Roman" w:hAnsi="Times New Roman" w:cs="Times New Roman"/>
              </w:rPr>
              <w:t>的绿化及道路洒水降尘，不外排，雨天暂存于回用水池。近期水平衡图如下图所示：</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1</w:t>
            </w:r>
          </w:p>
          <w:p>
            <w:pPr>
              <w:spacing w:line="326" w:lineRule="auto"/>
              <w:ind w:left="0" w:leftChars="0" w:firstLine="0" w:firstLineChars="0"/>
              <w:rPr>
                <w:rFonts w:hint="default" w:ascii="Times New Roman" w:hAnsi="Times New Roman" w:cs="Times New Roman"/>
                <w:sz w:val="21"/>
              </w:rPr>
            </w:pPr>
            <w:r>
              <w:rPr>
                <w:rFonts w:hint="default" w:ascii="Times New Roman" w:hAnsi="Times New Roman" w:cs="Times New Roman" w:eastAsiaTheme="minorEastAsia"/>
                <w:b/>
                <w:color w:val="auto"/>
                <w:szCs w:val="21"/>
              </w:rPr>
              <w:object>
                <v:shape id="_x0000_i1025" o:spt="75" type="#_x0000_t75" style="height:258.3pt;width:380.5pt;" o:ole="t" filled="f" o:preferrelative="t" stroked="f" coordsize="21600,21600">
                  <v:path/>
                  <v:fill on="f" focussize="0,0"/>
                  <v:stroke on="f"/>
                  <v:imagedata r:id="rId13" o:title=""/>
                  <o:lock v:ext="edit" aspectratio="f"/>
                  <w10:wrap type="none"/>
                  <w10:anchorlock/>
                </v:shape>
                <o:OLEObject Type="Embed" ProgID="Visio.Drawing.15" ShapeID="_x0000_i1025" DrawAspect="Content" ObjectID="_1468075725" r:id="rId12">
                  <o:LockedField>false</o:LockedField>
                </o:OLEObject>
              </w:object>
            </w:r>
          </w:p>
          <w:p>
            <w:pPr>
              <w:bidi w:val="0"/>
              <w:ind w:left="0" w:leftChars="0" w:firstLine="0" w:firstLineChars="0"/>
              <w:jc w:val="center"/>
              <w:rPr>
                <w:rFonts w:hint="default" w:ascii="Times New Roman" w:hAnsi="Times New Roman" w:cs="Times New Roman"/>
                <w:b/>
                <w:bCs/>
              </w:rPr>
            </w:pPr>
            <w:r>
              <w:rPr>
                <w:rFonts w:hint="default" w:ascii="Times New Roman" w:hAnsi="Times New Roman" w:cs="Times New Roman"/>
                <w:b/>
                <w:bCs/>
                <w:lang w:val="en-US" w:eastAsia="zh-CN"/>
              </w:rPr>
              <w:t>图2-1</w:t>
            </w:r>
            <w:r>
              <w:rPr>
                <w:rFonts w:hint="default" w:ascii="Times New Roman" w:hAnsi="Times New Roman" w:cs="Times New Roman"/>
                <w:b/>
                <w:bCs/>
              </w:rPr>
              <w:t>近期水量平衡图</w:t>
            </w:r>
            <w:r>
              <w:rPr>
                <w:rFonts w:hint="default" w:ascii="Times New Roman" w:hAnsi="Times New Roman" w:cs="Times New Roman"/>
                <w:b/>
                <w:bCs/>
                <w:lang w:eastAsia="zh-CN"/>
              </w:rPr>
              <w:t>m³</w:t>
            </w:r>
            <w:r>
              <w:rPr>
                <w:rFonts w:hint="default" w:ascii="Times New Roman" w:hAnsi="Times New Roman" w:cs="Times New Roman"/>
                <w:b/>
                <w:bCs/>
              </w:rPr>
              <w:t>/d</w:t>
            </w:r>
          </w:p>
          <w:p>
            <w:pPr>
              <w:bidi w:val="0"/>
              <w:rPr>
                <w:rFonts w:hint="default" w:ascii="Times New Roman" w:hAnsi="Times New Roman" w:cs="Times New Roman"/>
                <w:b/>
                <w:bCs/>
              </w:rPr>
            </w:pPr>
            <w:r>
              <w:rPr>
                <w:rFonts w:hint="default" w:ascii="Times New Roman" w:hAnsi="Times New Roman" w:cs="Times New Roman"/>
                <w:b/>
                <w:bCs/>
              </w:rPr>
              <w:t>②远期</w:t>
            </w:r>
          </w:p>
          <w:p>
            <w:pPr>
              <w:bidi w:val="0"/>
              <w:rPr>
                <w:rFonts w:hint="default" w:ascii="Times New Roman" w:hAnsi="Times New Roman" w:cs="Times New Roman"/>
              </w:rPr>
            </w:pPr>
            <w:r>
              <w:rPr>
                <w:rFonts w:hint="default" w:ascii="Times New Roman" w:hAnsi="Times New Roman" w:cs="Times New Roman"/>
              </w:rPr>
              <w:t>食堂含油废水经隔油处理后与经化粪池处理后的生活污水一起排入园区污水管网，最后进入园区污水处理厂。远期水平衡图见图</w:t>
            </w:r>
            <w:r>
              <w:rPr>
                <w:rFonts w:hint="default" w:ascii="Times New Roman" w:hAnsi="Times New Roman" w:cs="Times New Roman"/>
                <w:lang w:val="en-US" w:eastAsia="zh-CN"/>
              </w:rPr>
              <w:t>2-2</w:t>
            </w:r>
            <w:r>
              <w:rPr>
                <w:rFonts w:hint="default" w:ascii="Times New Roman" w:hAnsi="Times New Roman" w:cs="Times New Roman"/>
              </w:rPr>
              <w:t>。</w:t>
            </w:r>
          </w:p>
          <w:p>
            <w:pPr>
              <w:adjustRightInd w:val="0"/>
              <w:snapToGrid w:val="0"/>
              <w:spacing w:line="360" w:lineRule="auto"/>
              <w:ind w:left="0" w:leftChars="0" w:firstLine="0" w:firstLineChars="0"/>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object>
                <v:shape id="_x0000_i1026" o:spt="75" type="#_x0000_t75" style="height:251.55pt;width:391.65pt;" o:ole="t" filled="f" o:preferrelative="t" stroked="f" coordsize="21600,21600">
                  <v:path/>
                  <v:fill on="f" focussize="0,0"/>
                  <v:stroke on="f"/>
                  <v:imagedata r:id="rId15" o:title=""/>
                  <o:lock v:ext="edit" aspectratio="f"/>
                  <w10:wrap type="none"/>
                  <w10:anchorlock/>
                </v:shape>
                <o:OLEObject Type="Embed" ProgID="Visio.Drawing.15" ShapeID="_x0000_i1026" DrawAspect="Content" ObjectID="_1468075726" r:id="rId14">
                  <o:LockedField>false</o:LockedField>
                </o:OLEObject>
              </w:object>
            </w:r>
          </w:p>
          <w:p>
            <w:pPr>
              <w:bidi w:val="0"/>
              <w:ind w:left="0" w:leftChars="0" w:firstLine="0" w:firstLineChars="0"/>
              <w:jc w:val="center"/>
              <w:rPr>
                <w:rFonts w:hint="default" w:ascii="Times New Roman" w:hAnsi="Times New Roman" w:cs="Times New Roman"/>
                <w:b/>
                <w:bCs/>
              </w:rPr>
            </w:pPr>
            <w:r>
              <w:rPr>
                <w:rFonts w:hint="default" w:ascii="Times New Roman" w:hAnsi="Times New Roman" w:cs="Times New Roman"/>
                <w:b/>
                <w:bCs/>
                <w:lang w:val="en-US" w:eastAsia="zh-CN"/>
              </w:rPr>
              <w:t>图2-2远期</w:t>
            </w:r>
            <w:r>
              <w:rPr>
                <w:rFonts w:hint="default" w:ascii="Times New Roman" w:hAnsi="Times New Roman" w:cs="Times New Roman"/>
                <w:b/>
                <w:bCs/>
              </w:rPr>
              <w:t>水量平衡图</w:t>
            </w:r>
            <w:r>
              <w:rPr>
                <w:rFonts w:hint="default" w:ascii="Times New Roman" w:hAnsi="Times New Roman" w:cs="Times New Roman"/>
                <w:b/>
                <w:bCs/>
                <w:lang w:eastAsia="zh-CN"/>
              </w:rPr>
              <w:t>m³</w:t>
            </w:r>
            <w:r>
              <w:rPr>
                <w:rFonts w:hint="default" w:ascii="Times New Roman" w:hAnsi="Times New Roman" w:cs="Times New Roman"/>
                <w:b/>
                <w:bCs/>
              </w:rPr>
              <w:t>/d</w:t>
            </w:r>
          </w:p>
          <w:p>
            <w:pPr>
              <w:adjustRightInd w:val="0"/>
              <w:snapToGrid w:val="0"/>
              <w:spacing w:line="360" w:lineRule="auto"/>
              <w:ind w:firstLine="482" w:firstLineChars="200"/>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10、环保投资</w:t>
            </w:r>
          </w:p>
          <w:p>
            <w:pPr>
              <w:adjustRightInd w:val="0"/>
              <w:snapToGrid w:val="0"/>
              <w:spacing w:line="360" w:lineRule="auto"/>
              <w:ind w:firstLine="48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项目总投资</w:t>
            </w:r>
            <w:r>
              <w:rPr>
                <w:rFonts w:hint="default" w:ascii="Times New Roman" w:hAnsi="Times New Roman" w:cs="Times New Roman" w:eastAsiaTheme="minorEastAsia"/>
                <w:color w:val="auto"/>
                <w:szCs w:val="21"/>
                <w:lang w:val="en-US" w:eastAsia="zh-CN"/>
              </w:rPr>
              <w:t>2000</w:t>
            </w:r>
            <w:r>
              <w:rPr>
                <w:rFonts w:hint="default" w:ascii="Times New Roman" w:hAnsi="Times New Roman" w:cs="Times New Roman" w:eastAsiaTheme="minorEastAsia"/>
                <w:color w:val="auto"/>
                <w:szCs w:val="21"/>
              </w:rPr>
              <w:t>万元，其中环保投资为</w:t>
            </w:r>
            <w:r>
              <w:rPr>
                <w:rFonts w:hint="default" w:ascii="Times New Roman" w:hAnsi="Times New Roman" w:cs="Times New Roman" w:eastAsiaTheme="minorEastAsia"/>
                <w:color w:val="auto"/>
                <w:szCs w:val="21"/>
                <w:lang w:val="en-US" w:eastAsia="zh-CN"/>
              </w:rPr>
              <w:t>13</w:t>
            </w:r>
            <w:r>
              <w:rPr>
                <w:rFonts w:hint="default" w:ascii="Times New Roman" w:hAnsi="Times New Roman" w:cs="Times New Roman" w:eastAsiaTheme="minorEastAsia"/>
                <w:color w:val="auto"/>
                <w:szCs w:val="21"/>
              </w:rPr>
              <w:t>万元，占工程总投资的</w:t>
            </w:r>
            <w:r>
              <w:rPr>
                <w:rFonts w:hint="default" w:ascii="Times New Roman" w:hAnsi="Times New Roman" w:cs="Times New Roman" w:eastAsiaTheme="minorEastAsia"/>
                <w:color w:val="auto"/>
                <w:szCs w:val="21"/>
                <w:lang w:val="en-US" w:eastAsia="zh-CN"/>
              </w:rPr>
              <w:t>0.65</w:t>
            </w:r>
            <w:r>
              <w:rPr>
                <w:rFonts w:hint="default" w:ascii="Times New Roman" w:hAnsi="Times New Roman" w:cs="Times New Roman" w:eastAsiaTheme="minorEastAsia"/>
                <w:color w:val="auto"/>
                <w:szCs w:val="21"/>
              </w:rPr>
              <w:t>%。本次工程设计及环评提出的环保设施及投资见表2-</w:t>
            </w:r>
            <w:r>
              <w:rPr>
                <w:rFonts w:hint="default" w:ascii="Times New Roman" w:hAnsi="Times New Roman" w:cs="Times New Roman" w:eastAsiaTheme="minorEastAsia"/>
                <w:color w:val="auto"/>
                <w:szCs w:val="21"/>
                <w:lang w:val="en-US" w:eastAsia="zh-CN"/>
              </w:rPr>
              <w:t>6</w:t>
            </w:r>
            <w:r>
              <w:rPr>
                <w:rFonts w:hint="default" w:ascii="Times New Roman" w:hAnsi="Times New Roman" w:cs="Times New Roman" w:eastAsiaTheme="minorEastAsia"/>
                <w:color w:val="auto"/>
                <w:szCs w:val="21"/>
              </w:rPr>
              <w:t>。</w:t>
            </w:r>
          </w:p>
          <w:p>
            <w:pPr>
              <w:pStyle w:val="36"/>
              <w:bidi w:val="0"/>
              <w:rPr>
                <w:rFonts w:hint="default" w:ascii="Times New Roman" w:hAnsi="Times New Roman" w:cs="Times New Roman"/>
              </w:rPr>
            </w:pPr>
            <w:r>
              <w:rPr>
                <w:rFonts w:hint="default" w:ascii="Times New Roman" w:hAnsi="Times New Roman" w:cs="Times New Roman"/>
              </w:rPr>
              <w:t>表2-</w:t>
            </w:r>
            <w:r>
              <w:rPr>
                <w:rFonts w:hint="default" w:ascii="Times New Roman" w:hAnsi="Times New Roman" w:cs="Times New Roman"/>
                <w:lang w:val="en-US" w:eastAsia="zh-CN"/>
              </w:rPr>
              <w:t>6</w:t>
            </w:r>
            <w:r>
              <w:rPr>
                <w:rFonts w:hint="default" w:ascii="Times New Roman" w:hAnsi="Times New Roman" w:cs="Times New Roman"/>
              </w:rPr>
              <w:t>项目环保投资一览表</w:t>
            </w:r>
          </w:p>
          <w:tbl>
            <w:tblPr>
              <w:tblStyle w:val="29"/>
              <w:tblW w:w="7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630"/>
              <w:gridCol w:w="1365"/>
              <w:gridCol w:w="2002"/>
              <w:gridCol w:w="1135"/>
              <w:gridCol w:w="1135"/>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gridSpan w:val="2"/>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投资时段</w:t>
                  </w:r>
                </w:p>
              </w:tc>
              <w:tc>
                <w:tcPr>
                  <w:tcW w:w="1365"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治理对象</w:t>
                  </w:r>
                </w:p>
              </w:tc>
              <w:tc>
                <w:tcPr>
                  <w:tcW w:w="2002"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投资项目</w:t>
                  </w:r>
                </w:p>
              </w:tc>
              <w:tc>
                <w:tcPr>
                  <w:tcW w:w="1135"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数量</w:t>
                  </w:r>
                </w:p>
              </w:tc>
              <w:tc>
                <w:tcPr>
                  <w:tcW w:w="1135"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投资金额(万元)</w:t>
                  </w:r>
                </w:p>
              </w:tc>
              <w:tc>
                <w:tcPr>
                  <w:tcW w:w="1136"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Merge w:val="restart"/>
                  <w:vAlign w:val="center"/>
                </w:tcPr>
                <w:p>
                  <w:pPr>
                    <w:pStyle w:val="45"/>
                    <w:bidi w:val="0"/>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运营期</w:t>
                  </w:r>
                </w:p>
              </w:tc>
              <w:tc>
                <w:tcPr>
                  <w:tcW w:w="630" w:type="dxa"/>
                  <w:vMerge w:val="restart"/>
                  <w:vAlign w:val="center"/>
                </w:tcPr>
                <w:p>
                  <w:pPr>
                    <w:pStyle w:val="45"/>
                    <w:bidi w:val="0"/>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废水</w:t>
                  </w:r>
                </w:p>
              </w:tc>
              <w:tc>
                <w:tcPr>
                  <w:tcW w:w="1365" w:type="dxa"/>
                  <w:vMerge w:val="restart"/>
                  <w:vAlign w:val="center"/>
                </w:tcPr>
                <w:p>
                  <w:pPr>
                    <w:pStyle w:val="45"/>
                    <w:bidi w:val="0"/>
                    <w:jc w:val="center"/>
                    <w:rPr>
                      <w:rFonts w:hint="default" w:ascii="Times New Roman" w:hAnsi="Times New Roman" w:cs="Times New Roman"/>
                      <w:b w:val="0"/>
                      <w:bCs/>
                      <w:lang w:val="en-US"/>
                    </w:rPr>
                  </w:pPr>
                  <w:r>
                    <w:rPr>
                      <w:rFonts w:hint="default" w:ascii="Times New Roman" w:hAnsi="Times New Roman" w:cs="Times New Roman"/>
                      <w:b w:val="0"/>
                      <w:bCs/>
                      <w:lang w:val="en-US" w:eastAsia="zh-CN"/>
                    </w:rPr>
                    <w:t>食堂废水</w:t>
                  </w:r>
                </w:p>
              </w:tc>
              <w:tc>
                <w:tcPr>
                  <w:tcW w:w="2002" w:type="dxa"/>
                  <w:vAlign w:val="center"/>
                </w:tcPr>
                <w:p>
                  <w:pPr>
                    <w:pStyle w:val="45"/>
                    <w:bidi w:val="0"/>
                    <w:jc w:val="center"/>
                    <w:rPr>
                      <w:rFonts w:hint="default" w:ascii="Times New Roman" w:hAnsi="Times New Roman" w:cs="Times New Roman"/>
                      <w:b w:val="0"/>
                      <w:bCs/>
                    </w:rPr>
                  </w:pPr>
                  <w:r>
                    <w:rPr>
                      <w:rFonts w:hint="eastAsia" w:ascii="Times New Roman" w:hAnsi="Times New Roman" w:cs="Times New Roman"/>
                      <w:b w:val="0"/>
                      <w:bCs/>
                      <w:lang w:eastAsia="zh-CN"/>
                    </w:rPr>
                    <w:t>油水分离器</w:t>
                  </w:r>
                  <w:r>
                    <w:rPr>
                      <w:rFonts w:hint="default" w:ascii="Times New Roman" w:hAnsi="Times New Roman" w:cs="Times New Roman"/>
                      <w:b w:val="0"/>
                      <w:bCs/>
                    </w:rPr>
                    <w:t>(容积不小于0.5m³/d)</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0</w:t>
                  </w:r>
                </w:p>
              </w:tc>
              <w:tc>
                <w:tcPr>
                  <w:tcW w:w="1136"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利用原有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45"/>
                    <w:bidi w:val="0"/>
                    <w:jc w:val="center"/>
                    <w:rPr>
                      <w:rFonts w:hint="default" w:ascii="Times New Roman" w:hAnsi="Times New Roman" w:cs="Times New Roman"/>
                      <w:b w:val="0"/>
                      <w:bCs/>
                    </w:rPr>
                  </w:pPr>
                </w:p>
              </w:tc>
              <w:tc>
                <w:tcPr>
                  <w:tcW w:w="630" w:type="dxa"/>
                  <w:vMerge w:val="continue"/>
                  <w:vAlign w:val="center"/>
                </w:tcPr>
                <w:p>
                  <w:pPr>
                    <w:pStyle w:val="45"/>
                    <w:bidi w:val="0"/>
                    <w:jc w:val="center"/>
                    <w:rPr>
                      <w:rFonts w:hint="default" w:ascii="Times New Roman" w:hAnsi="Times New Roman" w:cs="Times New Roman"/>
                      <w:b w:val="0"/>
                      <w:bCs/>
                    </w:rPr>
                  </w:pPr>
                </w:p>
              </w:tc>
              <w:tc>
                <w:tcPr>
                  <w:tcW w:w="1365" w:type="dxa"/>
                  <w:vMerge w:val="continue"/>
                  <w:vAlign w:val="center"/>
                </w:tcPr>
                <w:p>
                  <w:pPr>
                    <w:pStyle w:val="45"/>
                    <w:bidi w:val="0"/>
                    <w:jc w:val="center"/>
                    <w:rPr>
                      <w:rFonts w:hint="default" w:ascii="Times New Roman" w:hAnsi="Times New Roman" w:cs="Times New Roman"/>
                      <w:b w:val="0"/>
                      <w:bCs/>
                    </w:rPr>
                  </w:pPr>
                </w:p>
              </w:tc>
              <w:tc>
                <w:tcPr>
                  <w:tcW w:w="2002"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一体化污水处</w:t>
                  </w:r>
                </w:p>
                <w:p>
                  <w:pPr>
                    <w:pStyle w:val="45"/>
                    <w:bidi w:val="0"/>
                    <w:jc w:val="center"/>
                    <w:rPr>
                      <w:rFonts w:hint="default" w:ascii="Times New Roman" w:hAnsi="Times New Roman" w:cs="Times New Roman"/>
                      <w:b w:val="0"/>
                      <w:bCs/>
                    </w:rPr>
                  </w:pPr>
                  <w:r>
                    <w:rPr>
                      <w:rFonts w:hint="default" w:ascii="Times New Roman" w:hAnsi="Times New Roman" w:cs="Times New Roman"/>
                      <w:b w:val="0"/>
                      <w:bCs/>
                    </w:rPr>
                    <w:t>理设施（10m³/d）</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0</w:t>
                  </w:r>
                </w:p>
              </w:tc>
              <w:tc>
                <w:tcPr>
                  <w:tcW w:w="1136"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45"/>
                    <w:bidi w:val="0"/>
                    <w:jc w:val="center"/>
                    <w:rPr>
                      <w:rFonts w:hint="default" w:ascii="Times New Roman" w:hAnsi="Times New Roman" w:cs="Times New Roman"/>
                      <w:b w:val="0"/>
                      <w:bCs/>
                    </w:rPr>
                  </w:pPr>
                </w:p>
              </w:tc>
              <w:tc>
                <w:tcPr>
                  <w:tcW w:w="630" w:type="dxa"/>
                  <w:vMerge w:val="continue"/>
                  <w:vAlign w:val="center"/>
                </w:tcPr>
                <w:p>
                  <w:pPr>
                    <w:pStyle w:val="45"/>
                    <w:bidi w:val="0"/>
                    <w:jc w:val="center"/>
                    <w:rPr>
                      <w:rFonts w:hint="default" w:ascii="Times New Roman" w:hAnsi="Times New Roman" w:cs="Times New Roman"/>
                      <w:b w:val="0"/>
                      <w:bCs/>
                    </w:rPr>
                  </w:pPr>
                </w:p>
              </w:tc>
              <w:tc>
                <w:tcPr>
                  <w:tcW w:w="1365" w:type="dxa"/>
                  <w:vMerge w:val="continue"/>
                  <w:vAlign w:val="center"/>
                </w:tcPr>
                <w:p>
                  <w:pPr>
                    <w:pStyle w:val="45"/>
                    <w:bidi w:val="0"/>
                    <w:jc w:val="center"/>
                    <w:rPr>
                      <w:rFonts w:hint="default" w:ascii="Times New Roman" w:hAnsi="Times New Roman" w:cs="Times New Roman"/>
                      <w:b w:val="0"/>
                      <w:bCs/>
                    </w:rPr>
                  </w:pPr>
                </w:p>
              </w:tc>
              <w:tc>
                <w:tcPr>
                  <w:tcW w:w="2002"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化粪池（容积约为10m³)</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0</w:t>
                  </w:r>
                </w:p>
              </w:tc>
              <w:tc>
                <w:tcPr>
                  <w:tcW w:w="1136"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45"/>
                    <w:bidi w:val="0"/>
                    <w:jc w:val="center"/>
                    <w:rPr>
                      <w:rFonts w:hint="default" w:ascii="Times New Roman" w:hAnsi="Times New Roman" w:cs="Times New Roman"/>
                      <w:b w:val="0"/>
                      <w:bCs/>
                    </w:rPr>
                  </w:pPr>
                </w:p>
              </w:tc>
              <w:tc>
                <w:tcPr>
                  <w:tcW w:w="630" w:type="dxa"/>
                  <w:vMerge w:val="continue"/>
                  <w:vAlign w:val="center"/>
                </w:tcPr>
                <w:p>
                  <w:pPr>
                    <w:pStyle w:val="45"/>
                    <w:bidi w:val="0"/>
                    <w:jc w:val="center"/>
                    <w:rPr>
                      <w:rFonts w:hint="default" w:ascii="Times New Roman" w:hAnsi="Times New Roman" w:cs="Times New Roman"/>
                      <w:b w:val="0"/>
                      <w:bCs/>
                      <w:lang w:val="en-US" w:eastAsia="zh-CN"/>
                    </w:rPr>
                  </w:pPr>
                </w:p>
              </w:tc>
              <w:tc>
                <w:tcPr>
                  <w:tcW w:w="1365" w:type="dxa"/>
                  <w:vAlign w:val="center"/>
                </w:tcPr>
                <w:p>
                  <w:pPr>
                    <w:pStyle w:val="45"/>
                    <w:bidi w:val="0"/>
                    <w:jc w:val="center"/>
                    <w:rPr>
                      <w:rFonts w:hint="default" w:ascii="Times New Roman" w:hAnsi="Times New Roman" w:cs="Times New Roman"/>
                      <w:b w:val="0"/>
                      <w:bCs/>
                      <w:lang w:val="en-US"/>
                    </w:rPr>
                  </w:pPr>
                  <w:r>
                    <w:rPr>
                      <w:rFonts w:hint="default" w:ascii="Times New Roman" w:hAnsi="Times New Roman" w:cs="Times New Roman"/>
                      <w:b w:val="0"/>
                      <w:bCs/>
                      <w:lang w:val="en-US" w:eastAsia="zh-CN"/>
                    </w:rPr>
                    <w:t>厂区雨水</w:t>
                  </w:r>
                </w:p>
              </w:tc>
              <w:tc>
                <w:tcPr>
                  <w:tcW w:w="2002"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雨污分流系统</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0</w:t>
                  </w:r>
                </w:p>
              </w:tc>
              <w:tc>
                <w:tcPr>
                  <w:tcW w:w="1136"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45"/>
                    <w:bidi w:val="0"/>
                    <w:jc w:val="center"/>
                    <w:rPr>
                      <w:rFonts w:hint="default" w:ascii="Times New Roman" w:hAnsi="Times New Roman" w:cs="Times New Roman"/>
                      <w:b w:val="0"/>
                      <w:bCs/>
                    </w:rPr>
                  </w:pPr>
                </w:p>
              </w:tc>
              <w:tc>
                <w:tcPr>
                  <w:tcW w:w="630" w:type="dxa"/>
                  <w:vMerge w:val="restart"/>
                  <w:vAlign w:val="center"/>
                </w:tcPr>
                <w:p>
                  <w:pPr>
                    <w:pStyle w:val="45"/>
                    <w:bidi w:val="0"/>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废气</w:t>
                  </w:r>
                </w:p>
              </w:tc>
              <w:tc>
                <w:tcPr>
                  <w:tcW w:w="1365" w:type="dxa"/>
                  <w:vAlign w:val="center"/>
                </w:tcPr>
                <w:p>
                  <w:pPr>
                    <w:pStyle w:val="45"/>
                    <w:bidi w:val="0"/>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食堂油烟</w:t>
                  </w:r>
                </w:p>
              </w:tc>
              <w:tc>
                <w:tcPr>
                  <w:tcW w:w="2002"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油烟净化器+</w:t>
                  </w:r>
                  <w:r>
                    <w:rPr>
                      <w:rFonts w:hint="default" w:ascii="Times New Roman" w:hAnsi="Times New Roman" w:cs="Times New Roman"/>
                      <w:b w:val="0"/>
                      <w:bCs/>
                      <w:lang w:val="en-US" w:eastAsia="zh-CN"/>
                    </w:rPr>
                    <w:t>集气罩+</w:t>
                  </w:r>
                  <w:r>
                    <w:rPr>
                      <w:rFonts w:hint="default" w:ascii="Times New Roman" w:hAnsi="Times New Roman" w:cs="Times New Roman"/>
                      <w:b w:val="0"/>
                      <w:bCs/>
                    </w:rPr>
                    <w:t>排气筒</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0</w:t>
                  </w:r>
                </w:p>
              </w:tc>
              <w:tc>
                <w:tcPr>
                  <w:tcW w:w="1136"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lang w:val="en-US" w:eastAsia="zh-CN"/>
                    </w:rPr>
                    <w:t>利用原有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45"/>
                    <w:bidi w:val="0"/>
                    <w:jc w:val="center"/>
                    <w:rPr>
                      <w:rFonts w:hint="default" w:ascii="Times New Roman" w:hAnsi="Times New Roman" w:cs="Times New Roman"/>
                      <w:b w:val="0"/>
                      <w:bCs/>
                    </w:rPr>
                  </w:pPr>
                </w:p>
              </w:tc>
              <w:tc>
                <w:tcPr>
                  <w:tcW w:w="630" w:type="dxa"/>
                  <w:vMerge w:val="continue"/>
                  <w:vAlign w:val="center"/>
                </w:tcPr>
                <w:p>
                  <w:pPr>
                    <w:pStyle w:val="45"/>
                    <w:bidi w:val="0"/>
                    <w:jc w:val="center"/>
                    <w:rPr>
                      <w:rFonts w:hint="default" w:ascii="Times New Roman" w:hAnsi="Times New Roman" w:cs="Times New Roman"/>
                      <w:b w:val="0"/>
                      <w:bCs/>
                    </w:rPr>
                  </w:pPr>
                </w:p>
              </w:tc>
              <w:tc>
                <w:tcPr>
                  <w:tcW w:w="1365"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（非甲烷总烃、甲苯、二甲苯）</w:t>
                  </w:r>
                </w:p>
              </w:tc>
              <w:tc>
                <w:tcPr>
                  <w:tcW w:w="2002"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集气罩（</w:t>
                  </w:r>
                  <w:r>
                    <w:rPr>
                      <w:rFonts w:hint="default" w:ascii="Times New Roman" w:hAnsi="Times New Roman" w:cs="Times New Roman"/>
                      <w:b w:val="0"/>
                      <w:bCs/>
                      <w:lang w:val="en-US" w:eastAsia="zh-CN"/>
                    </w:rPr>
                    <w:t>14</w:t>
                  </w:r>
                  <w:r>
                    <w:rPr>
                      <w:rFonts w:hint="default" w:ascii="Times New Roman" w:hAnsi="Times New Roman" w:cs="Times New Roman"/>
                      <w:b w:val="0"/>
                      <w:bCs/>
                    </w:rPr>
                    <w:t>个）+活性炭吸附设备</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10</w:t>
                  </w:r>
                </w:p>
              </w:tc>
              <w:tc>
                <w:tcPr>
                  <w:tcW w:w="1136" w:type="dxa"/>
                  <w:vAlign w:val="center"/>
                </w:tcPr>
                <w:p>
                  <w:pPr>
                    <w:pStyle w:val="45"/>
                    <w:bidi w:val="0"/>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利用原有设备改造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45"/>
                    <w:bidi w:val="0"/>
                    <w:jc w:val="center"/>
                    <w:rPr>
                      <w:rFonts w:hint="default" w:ascii="Times New Roman" w:hAnsi="Times New Roman" w:cs="Times New Roman"/>
                      <w:b w:val="0"/>
                      <w:bCs/>
                    </w:rPr>
                  </w:pPr>
                </w:p>
              </w:tc>
              <w:tc>
                <w:tcPr>
                  <w:tcW w:w="630" w:type="dxa"/>
                  <w:vAlign w:val="center"/>
                </w:tcPr>
                <w:p>
                  <w:pPr>
                    <w:pStyle w:val="45"/>
                    <w:bidi w:val="0"/>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噪声</w:t>
                  </w:r>
                </w:p>
              </w:tc>
              <w:tc>
                <w:tcPr>
                  <w:tcW w:w="1365"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备运行噪声</w:t>
                  </w:r>
                </w:p>
              </w:tc>
              <w:tc>
                <w:tcPr>
                  <w:tcW w:w="2002"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防噪、减震设施</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若干</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3</w:t>
                  </w:r>
                </w:p>
              </w:tc>
              <w:tc>
                <w:tcPr>
                  <w:tcW w:w="1136"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45"/>
                    <w:bidi w:val="0"/>
                    <w:jc w:val="center"/>
                    <w:rPr>
                      <w:rFonts w:hint="default" w:ascii="Times New Roman" w:hAnsi="Times New Roman" w:cs="Times New Roman"/>
                      <w:b w:val="0"/>
                      <w:bCs/>
                    </w:rPr>
                  </w:pPr>
                </w:p>
              </w:tc>
              <w:tc>
                <w:tcPr>
                  <w:tcW w:w="630" w:type="dxa"/>
                  <w:vMerge w:val="restart"/>
                  <w:vAlign w:val="center"/>
                </w:tcPr>
                <w:p>
                  <w:pPr>
                    <w:pStyle w:val="45"/>
                    <w:bidi w:val="0"/>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固体废弃物</w:t>
                  </w:r>
                </w:p>
              </w:tc>
              <w:tc>
                <w:tcPr>
                  <w:tcW w:w="1365"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生活垃圾</w:t>
                  </w:r>
                </w:p>
              </w:tc>
              <w:tc>
                <w:tcPr>
                  <w:tcW w:w="2002"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带盖垃圾桶</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3</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0</w:t>
                  </w:r>
                </w:p>
              </w:tc>
              <w:tc>
                <w:tcPr>
                  <w:tcW w:w="1136"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利用原有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45"/>
                    <w:bidi w:val="0"/>
                    <w:jc w:val="center"/>
                    <w:rPr>
                      <w:rFonts w:hint="default" w:ascii="Times New Roman" w:hAnsi="Times New Roman" w:cs="Times New Roman"/>
                      <w:b w:val="0"/>
                      <w:bCs/>
                    </w:rPr>
                  </w:pPr>
                </w:p>
              </w:tc>
              <w:tc>
                <w:tcPr>
                  <w:tcW w:w="630" w:type="dxa"/>
                  <w:vMerge w:val="continue"/>
                  <w:vAlign w:val="center"/>
                </w:tcPr>
                <w:p>
                  <w:pPr>
                    <w:pStyle w:val="45"/>
                    <w:bidi w:val="0"/>
                    <w:jc w:val="center"/>
                    <w:rPr>
                      <w:rFonts w:hint="default" w:ascii="Times New Roman" w:hAnsi="Times New Roman" w:cs="Times New Roman"/>
                      <w:b w:val="0"/>
                      <w:bCs/>
                    </w:rPr>
                  </w:pPr>
                </w:p>
              </w:tc>
              <w:tc>
                <w:tcPr>
                  <w:tcW w:w="136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碎玻璃</w:t>
                  </w:r>
                </w:p>
              </w:tc>
              <w:tc>
                <w:tcPr>
                  <w:tcW w:w="2002"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一般固废暂存间</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3</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0</w:t>
                  </w:r>
                </w:p>
              </w:tc>
              <w:tc>
                <w:tcPr>
                  <w:tcW w:w="1136"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lang w:val="en-US" w:eastAsia="zh-CN"/>
                    </w:rPr>
                    <w:t>利用原有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45"/>
                    <w:bidi w:val="0"/>
                    <w:jc w:val="center"/>
                    <w:rPr>
                      <w:rFonts w:hint="default" w:ascii="Times New Roman" w:hAnsi="Times New Roman" w:cs="Times New Roman"/>
                      <w:b w:val="0"/>
                      <w:bCs/>
                    </w:rPr>
                  </w:pPr>
                </w:p>
              </w:tc>
              <w:tc>
                <w:tcPr>
                  <w:tcW w:w="630" w:type="dxa"/>
                  <w:vMerge w:val="continue"/>
                  <w:vAlign w:val="center"/>
                </w:tcPr>
                <w:p>
                  <w:pPr>
                    <w:pStyle w:val="45"/>
                    <w:bidi w:val="0"/>
                    <w:jc w:val="center"/>
                    <w:rPr>
                      <w:rFonts w:hint="default" w:ascii="Times New Roman" w:hAnsi="Times New Roman" w:cs="Times New Roman"/>
                      <w:b w:val="0"/>
                      <w:bCs/>
                    </w:rPr>
                  </w:pPr>
                </w:p>
              </w:tc>
              <w:tc>
                <w:tcPr>
                  <w:tcW w:w="1365" w:type="dxa"/>
                  <w:vAlign w:val="center"/>
                </w:tcPr>
                <w:p>
                  <w:pPr>
                    <w:pStyle w:val="45"/>
                    <w:bidi w:val="0"/>
                    <w:ind w:firstLine="0" w:firstLineChars="0"/>
                    <w:jc w:val="center"/>
                    <w:rPr>
                      <w:rFonts w:hint="default" w:ascii="Times New Roman" w:hAnsi="Times New Roman" w:cs="Times New Roman"/>
                      <w:b w:val="0"/>
                      <w:bCs/>
                    </w:rPr>
                  </w:pPr>
                  <w:r>
                    <w:rPr>
                      <w:rFonts w:hint="default" w:ascii="Times New Roman" w:hAnsi="Times New Roman" w:cs="Times New Roman"/>
                      <w:b w:val="0"/>
                      <w:bCs/>
                    </w:rPr>
                    <w:t>危险废物</w:t>
                  </w:r>
                </w:p>
              </w:tc>
              <w:tc>
                <w:tcPr>
                  <w:tcW w:w="2002" w:type="dxa"/>
                  <w:vAlign w:val="center"/>
                </w:tcPr>
                <w:p>
                  <w:pPr>
                    <w:pStyle w:val="45"/>
                    <w:bidi w:val="0"/>
                    <w:ind w:firstLine="0" w:firstLineChars="0"/>
                    <w:jc w:val="center"/>
                    <w:rPr>
                      <w:rFonts w:hint="default" w:ascii="Times New Roman" w:hAnsi="Times New Roman" w:cs="Times New Roman"/>
                      <w:b w:val="0"/>
                      <w:bCs/>
                    </w:rPr>
                  </w:pPr>
                  <w:r>
                    <w:rPr>
                      <w:rFonts w:hint="default" w:ascii="Times New Roman" w:hAnsi="Times New Roman" w:cs="Times New Roman"/>
                      <w:b w:val="0"/>
                      <w:bCs/>
                    </w:rPr>
                    <w:t>危废暂存间（面积为5</w:t>
                  </w:r>
                  <w:r>
                    <w:rPr>
                      <w:rFonts w:hint="default" w:ascii="Times New Roman" w:hAnsi="Times New Roman" w:cs="Times New Roman"/>
                      <w:b w:val="0"/>
                      <w:bCs/>
                      <w:lang w:eastAsia="zh-CN"/>
                    </w:rPr>
                    <w:t>㎡</w:t>
                  </w:r>
                  <w:r>
                    <w:rPr>
                      <w:rFonts w:hint="default" w:ascii="Times New Roman" w:hAnsi="Times New Roman" w:cs="Times New Roman"/>
                      <w:b w:val="0"/>
                      <w:bCs/>
                    </w:rPr>
                    <w:t>）</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0</w:t>
                  </w:r>
                </w:p>
              </w:tc>
              <w:tc>
                <w:tcPr>
                  <w:tcW w:w="1136"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lang w:val="en-US" w:eastAsia="zh-CN"/>
                    </w:rPr>
                    <w:t>利用原有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45"/>
                    <w:bidi w:val="0"/>
                    <w:jc w:val="center"/>
                    <w:rPr>
                      <w:rFonts w:hint="default" w:ascii="Times New Roman" w:hAnsi="Times New Roman" w:cs="Times New Roman"/>
                      <w:b w:val="0"/>
                      <w:bCs/>
                    </w:rPr>
                  </w:pPr>
                </w:p>
              </w:tc>
              <w:tc>
                <w:tcPr>
                  <w:tcW w:w="1995" w:type="dxa"/>
                  <w:gridSpan w:val="2"/>
                  <w:vAlign w:val="center"/>
                </w:tcPr>
                <w:p>
                  <w:pPr>
                    <w:pStyle w:val="45"/>
                    <w:bidi w:val="0"/>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其他</w:t>
                  </w:r>
                </w:p>
              </w:tc>
              <w:tc>
                <w:tcPr>
                  <w:tcW w:w="2002"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危废间标识标</w:t>
                  </w:r>
                </w:p>
                <w:p>
                  <w:pPr>
                    <w:pStyle w:val="45"/>
                    <w:bidi w:val="0"/>
                    <w:jc w:val="center"/>
                    <w:rPr>
                      <w:rFonts w:hint="default" w:ascii="Times New Roman" w:hAnsi="Times New Roman" w:cs="Times New Roman"/>
                      <w:b w:val="0"/>
                      <w:bCs/>
                    </w:rPr>
                  </w:pPr>
                  <w:r>
                    <w:rPr>
                      <w:rFonts w:hint="default" w:ascii="Times New Roman" w:hAnsi="Times New Roman" w:cs="Times New Roman"/>
                      <w:b w:val="0"/>
                      <w:bCs/>
                    </w:rPr>
                    <w:t>牌以及厂区标</w:t>
                  </w:r>
                </w:p>
                <w:p>
                  <w:pPr>
                    <w:pStyle w:val="45"/>
                    <w:bidi w:val="0"/>
                    <w:jc w:val="center"/>
                    <w:rPr>
                      <w:rFonts w:hint="default" w:ascii="Times New Roman" w:hAnsi="Times New Roman" w:cs="Times New Roman"/>
                      <w:b w:val="0"/>
                      <w:bCs/>
                    </w:rPr>
                  </w:pPr>
                  <w:r>
                    <w:rPr>
                      <w:rFonts w:hint="default" w:ascii="Times New Roman" w:hAnsi="Times New Roman" w:cs="Times New Roman"/>
                      <w:b w:val="0"/>
                      <w:bCs/>
                    </w:rPr>
                    <w:t>识标牌</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若干</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0</w:t>
                  </w:r>
                </w:p>
              </w:tc>
              <w:tc>
                <w:tcPr>
                  <w:tcW w:w="1136" w:type="dxa"/>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lang w:val="en-US" w:eastAsia="zh-CN"/>
                    </w:rPr>
                    <w:t>利用原有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45"/>
                    <w:bidi w:val="0"/>
                    <w:jc w:val="center"/>
                    <w:rPr>
                      <w:rFonts w:hint="default" w:ascii="Times New Roman" w:hAnsi="Times New Roman" w:cs="Times New Roman"/>
                      <w:b w:val="0"/>
                      <w:bCs/>
                    </w:rPr>
                  </w:pPr>
                </w:p>
              </w:tc>
              <w:tc>
                <w:tcPr>
                  <w:tcW w:w="3997" w:type="dxa"/>
                  <w:gridSpan w:val="3"/>
                  <w:vAlign w:val="center"/>
                </w:tcPr>
                <w:p>
                  <w:pPr>
                    <w:pStyle w:val="45"/>
                    <w:bidi w:val="0"/>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合计</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w:t>
                  </w:r>
                </w:p>
              </w:tc>
              <w:tc>
                <w:tcPr>
                  <w:tcW w:w="1135"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13</w:t>
                  </w:r>
                </w:p>
              </w:tc>
              <w:tc>
                <w:tcPr>
                  <w:tcW w:w="1136" w:type="dxa"/>
                  <w:vAlign w:val="center"/>
                </w:tcPr>
                <w:p>
                  <w:pPr>
                    <w:pStyle w:val="45"/>
                    <w:bidi w:val="0"/>
                    <w:jc w:val="center"/>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w:t>
                  </w:r>
                </w:p>
              </w:tc>
            </w:tr>
          </w:tbl>
          <w:p>
            <w:pPr>
              <w:adjustRightInd w:val="0"/>
              <w:snapToGrid w:val="0"/>
              <w:ind w:firstLine="482" w:firstLineChars="200"/>
              <w:jc w:val="center"/>
              <w:rPr>
                <w:rFonts w:hint="default" w:ascii="Times New Roman" w:hAnsi="Times New Roman" w:cs="Times New Roman" w:eastAsiaTheme="minorEastAsia"/>
                <w:b/>
                <w:color w:val="auto"/>
                <w:szCs w:val="21"/>
              </w:rPr>
            </w:pPr>
          </w:p>
          <w:p>
            <w:pPr>
              <w:adjustRightInd w:val="0"/>
              <w:snapToGrid w:val="0"/>
              <w:spacing w:line="360" w:lineRule="auto"/>
              <w:rPr>
                <w:rFonts w:hint="default" w:ascii="Times New Roman" w:hAnsi="Times New Roman" w:cs="Times New Roman" w:eastAsiaTheme="minorEastAsia"/>
                <w:b/>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37" w:hRule="atLeast"/>
          <w:jc w:val="center"/>
        </w:trPr>
        <w:tc>
          <w:tcPr>
            <w:tcW w:w="1038" w:type="dxa"/>
            <w:vAlign w:val="center"/>
          </w:tcPr>
          <w:p>
            <w:pPr>
              <w:pStyle w:val="24"/>
              <w:adjustRightInd w:val="0"/>
              <w:snapToGrid w:val="0"/>
              <w:spacing w:before="0" w:beforeAutospacing="0" w:after="0" w:afterAutospacing="0"/>
              <w:ind w:left="0" w:leftChars="0"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8022" w:type="dxa"/>
          </w:tcPr>
          <w:p>
            <w:pPr>
              <w:spacing w:line="360" w:lineRule="auto"/>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一、施工期工艺流程和产排污节点</w:t>
            </w:r>
          </w:p>
          <w:p>
            <w:pPr>
              <w:bidi w:val="0"/>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lang w:val="en-US" w:eastAsia="zh-CN"/>
              </w:rPr>
              <w:t>主要是在已租</w:t>
            </w:r>
            <w:r>
              <w:rPr>
                <w:rFonts w:hint="default" w:ascii="Times New Roman" w:hAnsi="Times New Roman" w:cs="Times New Roman"/>
                <w:lang w:eastAsia="zh-CN"/>
              </w:rPr>
              <w:t>云南鑫成鹏高分子科技有限公司</w:t>
            </w:r>
            <w:r>
              <w:rPr>
                <w:rFonts w:hint="default" w:ascii="Times New Roman" w:hAnsi="Times New Roman" w:cs="Times New Roman"/>
              </w:rPr>
              <w:t>厂房</w:t>
            </w:r>
            <w:r>
              <w:rPr>
                <w:rFonts w:hint="default" w:ascii="Times New Roman" w:hAnsi="Times New Roman" w:cs="Times New Roman"/>
                <w:lang w:val="en-US" w:eastAsia="zh-CN"/>
              </w:rPr>
              <w:t>拆除钢化玻璃生产线，新增补充五条中控玻璃生产线</w:t>
            </w:r>
            <w:r>
              <w:rPr>
                <w:rFonts w:hint="default" w:ascii="Times New Roman" w:hAnsi="Times New Roman" w:cs="Times New Roman"/>
              </w:rPr>
              <w:t>。施工期主要为设备安装及装修，产生少量的粉尘、噪声和垃圾。施工时间较为短暂，做好洒水降尘、隔声减振和垃圾清运，产污随着施工完成而结束。</w:t>
            </w:r>
          </w:p>
          <w:p>
            <w:pPr>
              <w:spacing w:line="360" w:lineRule="auto"/>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二、运营期工艺流程和产排污节点</w:t>
            </w:r>
          </w:p>
          <w:p>
            <w:pPr>
              <w:spacing w:line="360" w:lineRule="auto"/>
              <w:ind w:firstLine="482" w:firstLineChars="200"/>
              <w:rPr>
                <w:rFonts w:hint="default" w:ascii="Times New Roman" w:hAnsi="Times New Roman" w:cs="Times New Roman" w:eastAsiaTheme="minorEastAsia"/>
                <w:b/>
                <w:bCs/>
                <w:iCs/>
                <w:color w:val="auto"/>
                <w:szCs w:val="21"/>
              </w:rPr>
            </w:pPr>
            <w:r>
              <w:rPr>
                <w:rFonts w:hint="default" w:ascii="Times New Roman" w:hAnsi="Times New Roman" w:cs="Times New Roman" w:eastAsiaTheme="minorEastAsia"/>
                <w:b/>
                <w:bCs/>
                <w:iCs/>
                <w:color w:val="auto"/>
                <w:szCs w:val="21"/>
              </w:rPr>
              <w:t>（一）运营期</w:t>
            </w:r>
            <w:r>
              <w:rPr>
                <w:rFonts w:hint="default" w:ascii="Times New Roman" w:hAnsi="Times New Roman" w:cs="Times New Roman" w:eastAsiaTheme="minorEastAsia"/>
                <w:b/>
                <w:bCs/>
                <w:color w:val="auto"/>
                <w:szCs w:val="21"/>
              </w:rPr>
              <w:t>工艺流程</w:t>
            </w:r>
          </w:p>
          <w:p>
            <w:pPr>
              <w:bidi w:val="0"/>
              <w:rPr>
                <w:rFonts w:hint="default" w:ascii="Times New Roman" w:hAnsi="Times New Roman" w:cs="Times New Roman"/>
                <w:b/>
                <w:bCs/>
              </w:rPr>
            </w:pPr>
            <w:r>
              <w:rPr>
                <w:rFonts w:hint="default" w:ascii="Times New Roman" w:hAnsi="Times New Roman" w:cs="Times New Roman"/>
                <w:b/>
                <w:bCs/>
              </w:rPr>
              <w:t>生产工艺流程简述：</w:t>
            </w:r>
          </w:p>
          <w:p>
            <w:pPr>
              <w:bidi w:val="0"/>
              <w:rPr>
                <w:rFonts w:hint="default" w:ascii="Times New Roman" w:hAnsi="Times New Roman" w:cs="Times New Roman"/>
              </w:rPr>
            </w:pPr>
            <w:r>
              <w:rPr>
                <w:rFonts w:hint="default" w:ascii="Times New Roman" w:hAnsi="Times New Roman" w:cs="Times New Roman"/>
              </w:rPr>
              <w:t>本项目建设内容主要新建</w:t>
            </w:r>
            <w:r>
              <w:rPr>
                <w:rFonts w:hint="default" w:ascii="Times New Roman" w:hAnsi="Times New Roman" w:cs="Times New Roman"/>
                <w:lang w:val="en-US" w:eastAsia="zh-CN"/>
              </w:rPr>
              <w:t>5</w:t>
            </w:r>
            <w:r>
              <w:rPr>
                <w:rFonts w:hint="default" w:ascii="Times New Roman" w:hAnsi="Times New Roman" w:cs="Times New Roman"/>
              </w:rPr>
              <w:t>条</w:t>
            </w:r>
            <w:r>
              <w:rPr>
                <w:rFonts w:hint="default" w:ascii="Times New Roman" w:hAnsi="Times New Roman" w:cs="Times New Roman"/>
                <w:lang w:val="en-US" w:eastAsia="zh-CN"/>
              </w:rPr>
              <w:t>中控玻璃</w:t>
            </w:r>
            <w:r>
              <w:rPr>
                <w:rFonts w:hint="default" w:ascii="Times New Roman" w:hAnsi="Times New Roman" w:cs="Times New Roman"/>
              </w:rPr>
              <w:t>加工生产线</w:t>
            </w:r>
            <w:r>
              <w:rPr>
                <w:rFonts w:hint="default" w:ascii="Times New Roman" w:hAnsi="Times New Roman" w:cs="Times New Roman"/>
                <w:lang w:val="en-US" w:eastAsia="zh-CN"/>
              </w:rPr>
              <w:t>与原有</w:t>
            </w:r>
            <w:r>
              <w:rPr>
                <w:rFonts w:hint="default" w:ascii="Times New Roman" w:hAnsi="Times New Roman" w:cs="Times New Roman"/>
              </w:rPr>
              <w:t>2条中空玻璃加工生产线，</w:t>
            </w:r>
            <w:r>
              <w:rPr>
                <w:rFonts w:hint="default" w:ascii="Times New Roman" w:hAnsi="Times New Roman" w:cs="Times New Roman"/>
                <w:color w:val="auto"/>
                <w:highlight w:val="none"/>
                <w:lang w:val="en-US" w:eastAsia="zh-CN"/>
              </w:rPr>
              <w:t>项目建成后共7条中空玻璃加工生产线，年产55万㎡中空玻璃</w:t>
            </w:r>
            <w:r>
              <w:rPr>
                <w:rFonts w:hint="default" w:ascii="Times New Roman" w:hAnsi="Times New Roman" w:cs="Times New Roman"/>
              </w:rPr>
              <w:t>。具体生产工艺及产污节点见下图。</w:t>
            </w:r>
          </w:p>
          <w:p>
            <w:pPr>
              <w:bidi w:val="0"/>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、中空玻璃生产工艺流程</w:t>
            </w:r>
          </w:p>
          <w:p>
            <w:pPr>
              <w:bidi w:val="0"/>
              <w:rPr>
                <w:rFonts w:hint="default" w:ascii="Times New Roman" w:hAnsi="Times New Roman" w:cs="Times New Roman"/>
              </w:rPr>
            </w:pPr>
            <w:r>
              <w:rPr>
                <w:rFonts w:hint="default" w:ascii="Times New Roman" w:hAnsi="Times New Roman" w:cs="Times New Roman"/>
              </w:rPr>
              <w:t>①钢化玻璃：利用自产的钢化玻璃作为原料。</w:t>
            </w:r>
          </w:p>
          <w:p>
            <w:pPr>
              <w:bidi w:val="0"/>
              <w:rPr>
                <w:rFonts w:hint="default" w:ascii="Times New Roman" w:hAnsi="Times New Roman" w:cs="Times New Roman"/>
              </w:rPr>
            </w:pPr>
            <w:r>
              <w:rPr>
                <w:rFonts w:hint="default" w:ascii="Times New Roman" w:hAnsi="Times New Roman" w:cs="Times New Roman"/>
              </w:rPr>
              <w:t>②灌装合胶：此过程铝条经切割和折弯加工成一定尺寸的铝隔框，采用自动分子筛灌装机对中空铝隔条填充分子筛干燥剂，然后将丁基胶涂在铝框周围进行第一道密封，涂胶温度为电加热至140℃</w:t>
            </w:r>
            <w:r>
              <w:rPr>
                <w:rFonts w:hint="default" w:ascii="Times New Roman" w:hAnsi="Times New Roman" w:cs="Times New Roman"/>
                <w:lang w:eastAsia="zh-CN"/>
              </w:rPr>
              <w:t>，</w:t>
            </w:r>
            <w:r>
              <w:rPr>
                <w:rFonts w:hint="default" w:ascii="Times New Roman" w:hAnsi="Times New Roman" w:cs="Times New Roman"/>
              </w:rPr>
              <w:t>进入合片平压工序，该过程产生的污染物主要为丁基胶涂胶产生的少量有机废气、铝条切割产生的边角料及机械设备噪声。（本项目丁基胶涂胶过程产生的少量有机废气经过集气罩收集后通过</w:t>
            </w:r>
            <w:r>
              <w:rPr>
                <w:rFonts w:hint="default" w:ascii="Times New Roman" w:hAnsi="Times New Roman" w:cs="Times New Roman"/>
                <w:lang w:val="en-US" w:eastAsia="zh-CN"/>
              </w:rPr>
              <w:t>二级</w:t>
            </w:r>
            <w:r>
              <w:rPr>
                <w:rFonts w:hint="default" w:ascii="Times New Roman" w:hAnsi="Times New Roman" w:cs="Times New Roman"/>
              </w:rPr>
              <w:t>活性炭吸附设备处理后经过15m高的DA001排气筒排放。铝条切割产生的边角料存放于固废暂存间，定期外售。噪声通过安装减震软垫进行减噪。）</w:t>
            </w:r>
          </w:p>
          <w:p>
            <w:pPr>
              <w:bidi w:val="0"/>
              <w:rPr>
                <w:rFonts w:hint="default" w:ascii="Times New Roman" w:hAnsi="Times New Roman" w:cs="Times New Roman"/>
              </w:rPr>
            </w:pPr>
            <w:r>
              <w:rPr>
                <w:rFonts w:hint="default" w:ascii="Times New Roman" w:hAnsi="Times New Roman" w:cs="Times New Roman"/>
              </w:rPr>
              <w:t>③合片平压：灌装合胶后的玻璃通过中空机进行合片并平压，以保证合片结构更加稳定，此过程产生的污染物主要为中空机运行时产生的噪声。（本项目产生的噪声通过安装减震软垫进行减噪。）</w:t>
            </w:r>
          </w:p>
          <w:p>
            <w:pPr>
              <w:bidi w:val="0"/>
              <w:rPr>
                <w:rFonts w:hint="default" w:ascii="Times New Roman" w:hAnsi="Times New Roman" w:cs="Times New Roman"/>
              </w:rPr>
            </w:pPr>
            <w:r>
              <w:rPr>
                <w:rFonts w:hint="default" w:ascii="Times New Roman" w:hAnsi="Times New Roman" w:cs="Times New Roman"/>
              </w:rPr>
              <w:t>④密封：经平压后的玻璃用双组份硅酮结构密封胶密封后即为中空玻璃，此过程主要产生机械设备噪声及有机废气（非甲烷总烃、甲苯、二甲苯）。（本项目双组份硅酮结构密封胶密封过程中产生的少量有机废气经过集气罩收集后通过活性炭吸附设备处理后经过15m高的DA001排气筒排放。噪声通过安装减震软垫进行减噪。）</w:t>
            </w:r>
          </w:p>
          <w:p>
            <w:pPr>
              <w:bidi w:val="0"/>
              <w:rPr>
                <w:rFonts w:hint="default" w:ascii="Times New Roman" w:hAnsi="Times New Roman" w:cs="Times New Roman"/>
              </w:rPr>
            </w:pPr>
            <w:r>
              <w:rPr>
                <w:rFonts w:hint="default" w:ascii="Times New Roman" w:hAnsi="Times New Roman" w:cs="Times New Roman"/>
              </w:rPr>
              <w:t>⑤检验、覆膜、上架成品：钢化玻璃通过检验后满足产品要求后需要在表面用覆膜机进行覆盖一层塑料薄膜，以避免在运输过程中刮花玻璃，最后上架成品。</w:t>
            </w:r>
            <w:r>
              <w:rPr>
                <w:rFonts w:hint="default" w:ascii="Times New Roman" w:hAnsi="Times New Roman" w:cs="Times New Roman"/>
                <w:lang w:val="en-US" w:eastAsia="zh-CN"/>
              </w:rPr>
              <w:t>次品</w:t>
            </w:r>
            <w:r>
              <w:rPr>
                <w:rFonts w:hint="default" w:ascii="Times New Roman" w:hAnsi="Times New Roman" w:cs="Times New Roman"/>
              </w:rPr>
              <w:t>玻璃作为废玻璃存放于一般固废暂存间委托环卫部门回收。</w:t>
            </w:r>
          </w:p>
          <w:p>
            <w:pPr>
              <w:bidi w:val="0"/>
              <w:ind w:left="0" w:leftChars="0" w:firstLine="0" w:firstLineChars="0"/>
              <w:jc w:val="center"/>
              <w:rPr>
                <w:rFonts w:hint="default" w:ascii="Times New Roman" w:hAnsi="Times New Roman" w:cs="Times New Roman"/>
              </w:rPr>
            </w:pPr>
            <w:r>
              <w:rPr>
                <w:rFonts w:hint="default" w:ascii="Times New Roman" w:hAnsi="Times New Roman" w:eastAsia="宋体" w:cs="Times New Roman"/>
              </w:rPr>
              <w:object>
                <v:shape id="_x0000_i1027" o:spt="75" type="#_x0000_t75" style="height:356.6pt;width:292.5pt;" o:ole="t" filled="f" o:preferrelative="t" stroked="f" coordsize="21600,21600">
                  <v:path/>
                  <v:fill on="f" focussize="0,0"/>
                  <v:stroke on="f"/>
                  <v:imagedata r:id="rId17" o:title=""/>
                  <o:lock v:ext="edit" aspectratio="t"/>
                  <w10:wrap type="none"/>
                  <w10:anchorlock/>
                </v:shape>
                <o:OLEObject Type="Embed" ProgID="Visio.Drawing.11" ShapeID="_x0000_i1027" DrawAspect="Content" ObjectID="_1468075727" r:id="rId16">
                  <o:LockedField>false</o:LockedField>
                </o:OLEObject>
              </w:object>
            </w:r>
          </w:p>
          <w:p>
            <w:pPr>
              <w:bidi w:val="0"/>
              <w:ind w:left="0" w:leftChars="0" w:firstLine="0" w:firstLineChars="0"/>
              <w:jc w:val="center"/>
              <w:rPr>
                <w:rFonts w:hint="default" w:ascii="Times New Roman" w:hAnsi="Times New Roman" w:cs="Times New Roman"/>
              </w:rPr>
            </w:pPr>
            <w:r>
              <w:rPr>
                <w:rFonts w:hint="default" w:ascii="Times New Roman" w:hAnsi="Times New Roman" w:cs="Times New Roman"/>
                <w:spacing w:val="-3"/>
                <w:sz w:val="24"/>
                <w:szCs w:val="24"/>
                <w14:textOutline w14:w="4358" w14:cap="sq" w14:cmpd="sng">
                  <w14:solidFill>
                    <w14:srgbClr w14:val="000000"/>
                  </w14:solidFill>
                  <w14:prstDash w14:val="solid"/>
                  <w14:bevel/>
                </w14:textOutline>
              </w:rPr>
              <w:t>图</w:t>
            </w:r>
            <w:r>
              <w:rPr>
                <w:rFonts w:hint="default" w:ascii="Times New Roman" w:hAnsi="Times New Roman" w:eastAsia="Times New Roman" w:cs="Times New Roman"/>
                <w:b/>
                <w:bCs/>
                <w:spacing w:val="-3"/>
                <w:sz w:val="24"/>
                <w:szCs w:val="24"/>
              </w:rPr>
              <w:t>2-</w:t>
            </w:r>
            <w:r>
              <w:rPr>
                <w:rFonts w:hint="default" w:ascii="Times New Roman" w:hAnsi="Times New Roman" w:cs="Times New Roman"/>
                <w:b/>
                <w:bCs/>
                <w:spacing w:val="-3"/>
                <w:sz w:val="24"/>
                <w:szCs w:val="24"/>
                <w:lang w:val="en-US" w:eastAsia="zh-CN"/>
              </w:rPr>
              <w:t>3</w:t>
            </w:r>
            <w:r>
              <w:rPr>
                <w:rFonts w:hint="default" w:ascii="Times New Roman" w:hAnsi="Times New Roman" w:cs="Times New Roman"/>
                <w:spacing w:val="-3"/>
                <w:sz w:val="24"/>
                <w:szCs w:val="24"/>
                <w14:textOutline w14:w="4358" w14:cap="sq" w14:cmpd="sng">
                  <w14:solidFill>
                    <w14:srgbClr w14:val="000000"/>
                  </w14:solidFill>
                  <w14:prstDash w14:val="solid"/>
                  <w14:bevel/>
                </w14:textOutline>
              </w:rPr>
              <w:t>中空玻璃生产工艺及产污环节图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1038" w:type="dxa"/>
            <w:vAlign w:val="center"/>
          </w:tcPr>
          <w:p>
            <w:pPr>
              <w:pStyle w:val="45"/>
              <w:bidi w:val="0"/>
              <w:rPr>
                <w:rFonts w:hint="default" w:ascii="Times New Roman" w:hAnsi="Times New Roman" w:cs="Times New Roman"/>
                <w:color w:val="auto"/>
                <w:szCs w:val="21"/>
              </w:rPr>
            </w:pPr>
            <w:r>
              <w:rPr>
                <w:rFonts w:hint="default" w:ascii="Times New Roman" w:hAnsi="Times New Roman" w:cs="Times New Roman"/>
              </w:rPr>
              <w:t>与项目有关的原有环境污染问题</w:t>
            </w:r>
          </w:p>
        </w:tc>
        <w:tc>
          <w:tcPr>
            <w:tcW w:w="8022" w:type="dxa"/>
            <w:vAlign w:val="center"/>
          </w:tcPr>
          <w:p>
            <w:pPr>
              <w:bidi w:val="0"/>
              <w:rPr>
                <w:rFonts w:hint="default" w:ascii="Times New Roman" w:hAnsi="Times New Roman" w:cs="Times New Roman"/>
                <w:b/>
                <w:bCs/>
              </w:rPr>
            </w:pPr>
            <w:r>
              <w:rPr>
                <w:rFonts w:hint="default" w:ascii="Times New Roman" w:hAnsi="Times New Roman" w:cs="Times New Roman"/>
                <w:b/>
                <w:bCs/>
              </w:rPr>
              <w:t>与本项目有关的原有污染情况及主要环境问题：</w:t>
            </w:r>
          </w:p>
          <w:p>
            <w:pPr>
              <w:adjustRightInd w:val="0"/>
              <w:snapToGrid w:val="0"/>
              <w:spacing w:line="360" w:lineRule="auto"/>
              <w:ind w:firstLine="482" w:firstLineChars="200"/>
              <w:rPr>
                <w:rFonts w:hint="default" w:ascii="Times New Roman" w:hAnsi="Times New Roman" w:eastAsia="宋体" w:cs="Times New Roman"/>
                <w:b/>
                <w:bCs/>
                <w:color w:val="000000"/>
                <w:sz w:val="24"/>
                <w:lang w:val="en-US" w:eastAsia="zh-CN"/>
              </w:rPr>
            </w:pPr>
            <w:r>
              <w:rPr>
                <w:rFonts w:hint="default" w:ascii="Times New Roman" w:hAnsi="Times New Roman" w:cs="Times New Roman"/>
                <w:b/>
                <w:bCs/>
                <w:color w:val="000000"/>
                <w:sz w:val="24"/>
                <w:lang w:val="en-US" w:eastAsia="zh-CN"/>
              </w:rPr>
              <w:t>一、原有项目情况介绍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目前</w:t>
            </w:r>
            <w:r>
              <w:rPr>
                <w:rFonts w:hint="default" w:ascii="Times New Roman" w:hAnsi="Times New Roman" w:cs="Times New Roman"/>
                <w:color w:val="000000"/>
                <w:sz w:val="24"/>
                <w:lang w:eastAsia="zh-CN"/>
              </w:rPr>
              <w:t>云南鑫多新型材料有限公司</w:t>
            </w:r>
            <w:r>
              <w:rPr>
                <w:rFonts w:hint="default" w:ascii="Times New Roman" w:hAnsi="Times New Roman" w:eastAsia="宋体" w:cs="Times New Roman"/>
                <w:spacing w:val="-2"/>
                <w:sz w:val="24"/>
                <w:szCs w:val="24"/>
              </w:rPr>
              <w:t>于</w:t>
            </w:r>
            <w:r>
              <w:rPr>
                <w:rFonts w:hint="default" w:ascii="Times New Roman" w:hAnsi="Times New Roman" w:eastAsia="宋体" w:cs="Times New Roman"/>
                <w:spacing w:val="-2"/>
                <w:sz w:val="24"/>
                <w:szCs w:val="24"/>
                <w:lang w:val="en-US" w:eastAsia="zh-CN"/>
              </w:rPr>
              <w:t>2022</w:t>
            </w:r>
            <w:r>
              <w:rPr>
                <w:rFonts w:hint="default" w:ascii="Times New Roman" w:hAnsi="Times New Roman" w:eastAsia="宋体" w:cs="Times New Roman"/>
                <w:spacing w:val="-2"/>
                <w:sz w:val="24"/>
                <w:szCs w:val="24"/>
              </w:rPr>
              <w:t>年</w:t>
            </w:r>
            <w:r>
              <w:rPr>
                <w:rFonts w:hint="default" w:ascii="Times New Roman" w:hAnsi="Times New Roman" w:eastAsia="宋体" w:cs="Times New Roman"/>
                <w:spacing w:val="-2"/>
                <w:sz w:val="24"/>
                <w:szCs w:val="24"/>
                <w:lang w:val="en-US" w:eastAsia="zh-CN"/>
              </w:rPr>
              <w:t>1</w:t>
            </w:r>
            <w:r>
              <w:rPr>
                <w:rFonts w:hint="default" w:ascii="Times New Roman" w:hAnsi="Times New Roman" w:eastAsia="宋体" w:cs="Times New Roman"/>
                <w:spacing w:val="-2"/>
                <w:sz w:val="24"/>
                <w:szCs w:val="24"/>
              </w:rPr>
              <w:t>月委托云南绿蓝环境科技有限公司编</w:t>
            </w:r>
            <w:r>
              <w:rPr>
                <w:rFonts w:hint="default" w:ascii="Times New Roman" w:hAnsi="Times New Roman" w:eastAsia="宋体" w:cs="Times New Roman"/>
                <w:spacing w:val="-14"/>
                <w:sz w:val="24"/>
                <w:szCs w:val="24"/>
              </w:rPr>
              <w:t>制</w:t>
            </w:r>
            <w:r>
              <w:rPr>
                <w:rFonts w:hint="default" w:ascii="Times New Roman" w:hAnsi="Times New Roman" w:eastAsia="宋体" w:cs="Times New Roman"/>
                <w:spacing w:val="-11"/>
                <w:sz w:val="24"/>
                <w:szCs w:val="24"/>
              </w:rPr>
              <w:t>完</w:t>
            </w:r>
            <w:r>
              <w:rPr>
                <w:rFonts w:hint="default" w:ascii="Times New Roman" w:hAnsi="Times New Roman" w:eastAsia="宋体" w:cs="Times New Roman"/>
                <w:spacing w:val="-7"/>
                <w:sz w:val="24"/>
                <w:szCs w:val="24"/>
              </w:rPr>
              <w:t>成了《</w:t>
            </w:r>
            <w:r>
              <w:rPr>
                <w:rFonts w:hint="default" w:ascii="Times New Roman" w:hAnsi="Times New Roman" w:eastAsia="宋体" w:cs="Times New Roman"/>
                <w:sz w:val="24"/>
                <w:szCs w:val="24"/>
                <w:lang w:val="en-US" w:eastAsia="zh-CN"/>
              </w:rPr>
              <w:t>云南鑫多新型材料有限公司年加工25万㎡门窗玻璃建设项目</w:t>
            </w:r>
            <w:r>
              <w:rPr>
                <w:rFonts w:hint="default" w:ascii="Times New Roman" w:hAnsi="Times New Roman" w:eastAsia="宋体" w:cs="Times New Roman"/>
                <w:spacing w:val="-7"/>
                <w:sz w:val="24"/>
                <w:szCs w:val="24"/>
              </w:rPr>
              <w:t>环境影响报告表》，已于202</w:t>
            </w:r>
            <w:r>
              <w:rPr>
                <w:rFonts w:hint="default" w:ascii="Times New Roman" w:hAnsi="Times New Roman" w:eastAsia="宋体" w:cs="Times New Roman"/>
                <w:spacing w:val="-7"/>
                <w:sz w:val="24"/>
                <w:szCs w:val="24"/>
                <w:lang w:val="en-US" w:eastAsia="zh-CN"/>
              </w:rPr>
              <w:t>2</w:t>
            </w:r>
            <w:r>
              <w:rPr>
                <w:rFonts w:hint="default" w:ascii="Times New Roman" w:hAnsi="Times New Roman" w:eastAsia="宋体" w:cs="Times New Roman"/>
                <w:spacing w:val="-7"/>
                <w:sz w:val="24"/>
                <w:szCs w:val="24"/>
              </w:rPr>
              <w:t>年</w:t>
            </w:r>
            <w:r>
              <w:rPr>
                <w:rFonts w:hint="default" w:ascii="Times New Roman" w:hAnsi="Times New Roman" w:eastAsia="宋体" w:cs="Times New Roman"/>
                <w:spacing w:val="-7"/>
                <w:sz w:val="24"/>
                <w:szCs w:val="24"/>
                <w:lang w:val="en-US" w:eastAsia="zh-CN"/>
              </w:rPr>
              <w:t>7</w:t>
            </w:r>
            <w:r>
              <w:rPr>
                <w:rFonts w:hint="default" w:ascii="Times New Roman" w:hAnsi="Times New Roman" w:eastAsia="宋体" w:cs="Times New Roman"/>
                <w:spacing w:val="-7"/>
                <w:sz w:val="24"/>
                <w:szCs w:val="24"/>
              </w:rPr>
              <w:t>月</w:t>
            </w:r>
            <w:r>
              <w:rPr>
                <w:rFonts w:hint="default" w:ascii="Times New Roman" w:hAnsi="Times New Roman" w:eastAsia="宋体" w:cs="Times New Roman"/>
                <w:spacing w:val="-7"/>
                <w:sz w:val="24"/>
                <w:szCs w:val="24"/>
                <w:lang w:val="en-US" w:eastAsia="zh-CN"/>
              </w:rPr>
              <w:t>20</w:t>
            </w:r>
            <w:r>
              <w:rPr>
                <w:rFonts w:hint="default" w:ascii="Times New Roman" w:hAnsi="Times New Roman" w:eastAsia="宋体" w:cs="Times New Roman"/>
                <w:spacing w:val="-7"/>
                <w:sz w:val="24"/>
                <w:szCs w:val="24"/>
              </w:rPr>
              <w:t>日</w:t>
            </w:r>
            <w:r>
              <w:rPr>
                <w:rFonts w:hint="default" w:ascii="Times New Roman" w:hAnsi="Times New Roman" w:eastAsia="宋体" w:cs="Times New Roman"/>
                <w:spacing w:val="4"/>
                <w:sz w:val="24"/>
                <w:szCs w:val="24"/>
              </w:rPr>
              <w:t>取得玉溪市生态环境局</w:t>
            </w:r>
            <w:r>
              <w:rPr>
                <w:rFonts w:hint="default" w:ascii="Times New Roman" w:hAnsi="Times New Roman" w:eastAsia="宋体" w:cs="Times New Roman"/>
                <w:spacing w:val="4"/>
                <w:sz w:val="24"/>
                <w:szCs w:val="24"/>
                <w:lang w:val="en-US" w:eastAsia="zh-CN"/>
              </w:rPr>
              <w:t>澄江</w:t>
            </w:r>
            <w:r>
              <w:rPr>
                <w:rFonts w:hint="default" w:ascii="Times New Roman" w:hAnsi="Times New Roman" w:eastAsia="宋体" w:cs="Times New Roman"/>
                <w:spacing w:val="2"/>
                <w:sz w:val="24"/>
                <w:szCs w:val="24"/>
              </w:rPr>
              <w:t>分局出具的环评批复(</w:t>
            </w:r>
            <w:r>
              <w:rPr>
                <w:rFonts w:hint="default" w:ascii="Times New Roman" w:hAnsi="Times New Roman" w:eastAsia="宋体" w:cs="Times New Roman"/>
                <w:spacing w:val="2"/>
                <w:sz w:val="24"/>
                <w:szCs w:val="24"/>
                <w:lang w:val="en-US" w:eastAsia="zh-CN"/>
              </w:rPr>
              <w:t>澄</w:t>
            </w:r>
            <w:r>
              <w:rPr>
                <w:rFonts w:hint="default" w:ascii="Times New Roman" w:hAnsi="Times New Roman" w:eastAsia="宋体" w:cs="Times New Roman"/>
                <w:spacing w:val="2"/>
                <w:sz w:val="24"/>
                <w:szCs w:val="24"/>
              </w:rPr>
              <w:t>环审〔</w:t>
            </w:r>
            <w:r>
              <w:rPr>
                <w:rFonts w:hint="default" w:ascii="Times New Roman" w:hAnsi="Times New Roman" w:eastAsia="宋体" w:cs="Times New Roman"/>
                <w:spacing w:val="2"/>
                <w:sz w:val="24"/>
                <w:szCs w:val="24"/>
                <w:lang w:val="en-US" w:eastAsia="zh-CN"/>
              </w:rPr>
              <w:t>2022</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2"/>
                <w:sz w:val="24"/>
                <w:szCs w:val="24"/>
                <w:lang w:val="en-US" w:eastAsia="zh-CN"/>
              </w:rPr>
              <w:t>13</w:t>
            </w:r>
            <w:r>
              <w:rPr>
                <w:rFonts w:hint="default" w:ascii="Times New Roman" w:hAnsi="Times New Roman" w:eastAsia="宋体" w:cs="Times New Roman"/>
                <w:spacing w:val="2"/>
                <w:sz w:val="24"/>
                <w:szCs w:val="24"/>
              </w:rPr>
              <w:t>号)</w:t>
            </w:r>
            <w:r>
              <w:rPr>
                <w:rFonts w:hint="default" w:ascii="Times New Roman" w:hAnsi="Times New Roman" w:eastAsia="宋体" w:cs="Times New Roman"/>
                <w:spacing w:val="2"/>
                <w:sz w:val="24"/>
                <w:szCs w:val="24"/>
                <w:lang w:eastAsia="zh-CN"/>
              </w:rPr>
              <w:t>，</w:t>
            </w:r>
            <w:r>
              <w:rPr>
                <w:rFonts w:hint="default" w:ascii="Times New Roman" w:hAnsi="Times New Roman" w:cs="Times New Roman"/>
                <w:color w:val="000000"/>
                <w:sz w:val="24"/>
              </w:rPr>
              <w:t>己按要求取得排污许可证，目前排污许可证由</w:t>
            </w:r>
            <w:r>
              <w:rPr>
                <w:rFonts w:hint="default" w:ascii="Times New Roman" w:hAnsi="Times New Roman" w:cs="Times New Roman"/>
                <w:color w:val="000000"/>
                <w:sz w:val="24"/>
                <w:lang w:val="en-US" w:eastAsia="zh-CN"/>
              </w:rPr>
              <w:t>玉溪市</w:t>
            </w:r>
            <w:r>
              <w:rPr>
                <w:rFonts w:hint="default" w:ascii="Times New Roman" w:hAnsi="Times New Roman" w:cs="Times New Roman"/>
                <w:color w:val="000000"/>
                <w:sz w:val="24"/>
              </w:rPr>
              <w:t>生态环境局颁发，有效期限：自2023-05-10至2028-05-09止，编号为91530481MA7BKBP32R001Q</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项目于2023年5月5日完成项目竣工验收。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cs="Times New Roman"/>
                <w:color w:val="000000"/>
                <w:sz w:val="24"/>
              </w:rPr>
            </w:pPr>
            <w:r>
              <w:rPr>
                <w:rFonts w:hint="default" w:ascii="Times New Roman" w:hAnsi="Times New Roman" w:cs="Times New Roman"/>
                <w:color w:val="000000"/>
                <w:sz w:val="24"/>
                <w:lang w:eastAsia="zh-CN"/>
              </w:rPr>
              <w:t>云南鑫多新型材料有限公司</w:t>
            </w:r>
            <w:r>
              <w:rPr>
                <w:rFonts w:hint="default" w:ascii="Times New Roman" w:hAnsi="Times New Roman" w:cs="Times New Roman"/>
                <w:color w:val="000000"/>
                <w:sz w:val="24"/>
              </w:rPr>
              <w:t>的废气总量指标为：</w:t>
            </w:r>
            <w:r>
              <w:rPr>
                <w:rFonts w:hint="default" w:ascii="Times New Roman" w:hAnsi="Times New Roman" w:eastAsia="宋体" w:cs="Times New Roman"/>
                <w:color w:val="000000"/>
                <w:sz w:val="24"/>
                <w:lang w:val="en-US" w:eastAsia="zh-CN"/>
              </w:rPr>
              <w:t>非甲烷总烃机物为1.372</w:t>
            </w:r>
            <w:r>
              <w:rPr>
                <w:rFonts w:hint="default" w:ascii="Times New Roman" w:hAnsi="Times New Roman" w:eastAsia="宋体" w:cs="Times New Roman"/>
                <w:color w:val="000000"/>
                <w:sz w:val="24"/>
                <w:lang w:eastAsia="zh-CN"/>
              </w:rPr>
              <w:t>吨/年</w:t>
            </w:r>
            <w:r>
              <w:rPr>
                <w:rFonts w:hint="default" w:ascii="Times New Roman" w:hAnsi="Times New Roman" w:cs="Times New Roman"/>
                <w:color w:val="000000"/>
                <w:sz w:val="24"/>
              </w:rPr>
              <w:t>，</w:t>
            </w:r>
            <w:r>
              <w:rPr>
                <w:rFonts w:hint="default" w:ascii="Times New Roman" w:hAnsi="Times New Roman" w:cs="Times New Roman"/>
                <w:color w:val="000000"/>
                <w:sz w:val="24"/>
                <w:lang w:val="en-US" w:eastAsia="zh-CN"/>
              </w:rPr>
              <w:t>甲苯</w:t>
            </w:r>
            <w:r>
              <w:rPr>
                <w:rFonts w:hint="default" w:ascii="Times New Roman" w:hAnsi="Times New Roman" w:cs="Times New Roman"/>
                <w:color w:val="000000"/>
                <w:sz w:val="24"/>
              </w:rPr>
              <w:t>为</w:t>
            </w:r>
            <w:r>
              <w:rPr>
                <w:rFonts w:hint="default" w:ascii="Times New Roman" w:hAnsi="Times New Roman" w:cs="Times New Roman"/>
                <w:color w:val="000000"/>
                <w:sz w:val="24"/>
                <w:lang w:val="en-US" w:eastAsia="zh-CN"/>
              </w:rPr>
              <w:t>0.039</w:t>
            </w:r>
            <w:r>
              <w:rPr>
                <w:rFonts w:hint="default" w:ascii="Times New Roman" w:hAnsi="Times New Roman" w:cs="Times New Roman"/>
                <w:color w:val="000000"/>
                <w:sz w:val="24"/>
              </w:rPr>
              <w:t>吨/年、</w:t>
            </w:r>
            <w:r>
              <w:rPr>
                <w:rFonts w:hint="default" w:ascii="Times New Roman" w:hAnsi="Times New Roman" w:cs="Times New Roman"/>
                <w:color w:val="000000"/>
                <w:sz w:val="24"/>
                <w:lang w:val="en-US" w:eastAsia="zh-CN"/>
              </w:rPr>
              <w:t>二甲苯</w:t>
            </w:r>
            <w:r>
              <w:rPr>
                <w:rFonts w:hint="default" w:ascii="Times New Roman" w:hAnsi="Times New Roman" w:cs="Times New Roman"/>
                <w:color w:val="000000"/>
                <w:sz w:val="24"/>
              </w:rPr>
              <w:t>为</w:t>
            </w:r>
            <w:r>
              <w:rPr>
                <w:rFonts w:hint="default" w:ascii="Times New Roman" w:hAnsi="Times New Roman" w:cs="Times New Roman"/>
                <w:color w:val="000000"/>
                <w:sz w:val="24"/>
                <w:lang w:val="en-US" w:eastAsia="zh-CN"/>
              </w:rPr>
              <w:t>0.039</w:t>
            </w:r>
            <w:r>
              <w:rPr>
                <w:rFonts w:hint="default" w:ascii="Times New Roman" w:hAnsi="Times New Roman" w:cs="Times New Roman"/>
                <w:color w:val="000000"/>
                <w:sz w:val="24"/>
              </w:rPr>
              <w:t>吨/年。</w:t>
            </w:r>
          </w:p>
          <w:p>
            <w:pPr>
              <w:numPr>
                <w:ilvl w:val="0"/>
                <w:numId w:val="4"/>
              </w:numPr>
              <w:adjustRightInd w:val="0"/>
              <w:snapToGrid w:val="0"/>
              <w:spacing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原有项目环保要求执行情况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经对照</w:t>
            </w:r>
            <w:r>
              <w:rPr>
                <w:rFonts w:hint="default" w:ascii="Times New Roman" w:hAnsi="Times New Roman" w:eastAsia="宋体" w:cs="Times New Roman"/>
                <w:color w:val="000000"/>
                <w:sz w:val="24"/>
                <w:lang w:eastAsia="zh-CN"/>
              </w:rPr>
              <w:t>202</w:t>
            </w:r>
            <w:r>
              <w:rPr>
                <w:rFonts w:hint="default" w:ascii="Times New Roman" w:hAnsi="Times New Roman" w:eastAsia="宋体" w:cs="Times New Roman"/>
                <w:color w:val="000000"/>
                <w:sz w:val="24"/>
                <w:lang w:val="en-US" w:eastAsia="zh-CN"/>
              </w:rPr>
              <w:t>2</w:t>
            </w:r>
            <w:r>
              <w:rPr>
                <w:rFonts w:hint="default" w:ascii="Times New Roman" w:hAnsi="Times New Roman" w:eastAsia="宋体" w:cs="Times New Roman"/>
                <w:color w:val="000000"/>
                <w:sz w:val="24"/>
                <w:lang w:eastAsia="zh-CN"/>
              </w:rPr>
              <w:t>年</w:t>
            </w:r>
            <w:r>
              <w:rPr>
                <w:rFonts w:hint="default" w:ascii="Times New Roman" w:hAnsi="Times New Roman" w:eastAsia="宋体" w:cs="Times New Roman"/>
                <w:color w:val="000000"/>
                <w:sz w:val="24"/>
                <w:lang w:val="en-US" w:eastAsia="zh-CN"/>
              </w:rPr>
              <w:t>7</w:t>
            </w:r>
            <w:r>
              <w:rPr>
                <w:rFonts w:hint="default" w:ascii="Times New Roman" w:hAnsi="Times New Roman" w:eastAsia="宋体" w:cs="Times New Roman"/>
                <w:color w:val="000000"/>
                <w:sz w:val="24"/>
                <w:lang w:eastAsia="zh-CN"/>
              </w:rPr>
              <w:t>月</w:t>
            </w:r>
            <w:r>
              <w:rPr>
                <w:rFonts w:hint="default" w:ascii="Times New Roman" w:hAnsi="Times New Roman" w:eastAsia="宋体" w:cs="Times New Roman"/>
                <w:color w:val="000000"/>
                <w:sz w:val="24"/>
                <w:lang w:val="en-US" w:eastAsia="zh-CN"/>
              </w:rPr>
              <w:t>20</w:t>
            </w:r>
            <w:r>
              <w:rPr>
                <w:rFonts w:hint="default" w:ascii="Times New Roman" w:hAnsi="Times New Roman" w:eastAsia="宋体" w:cs="Times New Roman"/>
                <w:color w:val="000000"/>
                <w:sz w:val="24"/>
                <w:lang w:eastAsia="zh-CN"/>
              </w:rPr>
              <w:t>日取得玉溪市生态环境局</w:t>
            </w:r>
            <w:r>
              <w:rPr>
                <w:rFonts w:hint="default" w:ascii="Times New Roman" w:hAnsi="Times New Roman" w:eastAsia="宋体" w:cs="Times New Roman"/>
                <w:color w:val="000000"/>
                <w:sz w:val="24"/>
                <w:lang w:val="en-US" w:eastAsia="zh-CN"/>
              </w:rPr>
              <w:t>澄江</w:t>
            </w:r>
            <w:r>
              <w:rPr>
                <w:rFonts w:hint="default" w:ascii="Times New Roman" w:hAnsi="Times New Roman" w:eastAsia="宋体" w:cs="Times New Roman"/>
                <w:color w:val="000000"/>
                <w:sz w:val="24"/>
                <w:lang w:eastAsia="zh-CN"/>
              </w:rPr>
              <w:t>分局出具的环评批复(</w:t>
            </w:r>
            <w:r>
              <w:rPr>
                <w:rFonts w:hint="default" w:ascii="Times New Roman" w:hAnsi="Times New Roman" w:eastAsia="宋体" w:cs="Times New Roman"/>
                <w:color w:val="000000"/>
                <w:sz w:val="24"/>
                <w:lang w:val="en-US" w:eastAsia="zh-CN"/>
              </w:rPr>
              <w:t>澄</w:t>
            </w:r>
            <w:r>
              <w:rPr>
                <w:rFonts w:hint="default" w:ascii="Times New Roman" w:hAnsi="Times New Roman" w:eastAsia="宋体" w:cs="Times New Roman"/>
                <w:color w:val="000000"/>
                <w:sz w:val="24"/>
                <w:lang w:eastAsia="zh-CN"/>
              </w:rPr>
              <w:t>环审〔</w:t>
            </w:r>
            <w:r>
              <w:rPr>
                <w:rFonts w:hint="default" w:ascii="Times New Roman" w:hAnsi="Times New Roman" w:eastAsia="宋体" w:cs="Times New Roman"/>
                <w:color w:val="000000"/>
                <w:sz w:val="24"/>
                <w:lang w:val="en-US" w:eastAsia="zh-CN"/>
              </w:rPr>
              <w:t>2022</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13</w:t>
            </w:r>
            <w:r>
              <w:rPr>
                <w:rFonts w:hint="default" w:ascii="Times New Roman" w:hAnsi="Times New Roman" w:eastAsia="宋体" w:cs="Times New Roman"/>
                <w:color w:val="000000"/>
                <w:sz w:val="24"/>
                <w:lang w:eastAsia="zh-CN"/>
              </w:rPr>
              <w:t>号)，原项目环保要求执行情况见表2-</w:t>
            </w:r>
            <w:r>
              <w:rPr>
                <w:rFonts w:hint="default" w:ascii="Times New Roman" w:hAnsi="Times New Roman" w:eastAsia="宋体" w:cs="Times New Roman"/>
                <w:color w:val="000000"/>
                <w:sz w:val="24"/>
                <w:lang w:val="en-US" w:eastAsia="zh-CN"/>
              </w:rPr>
              <w:t>7</w:t>
            </w:r>
            <w:r>
              <w:rPr>
                <w:rFonts w:hint="default" w:ascii="Times New Roman" w:hAnsi="Times New Roman" w:eastAsia="宋体" w:cs="Times New Roman"/>
                <w:color w:val="000000"/>
                <w:sz w:val="24"/>
                <w:lang w:eastAsia="zh-CN"/>
              </w:rPr>
              <w:t>。</w:t>
            </w:r>
          </w:p>
          <w:p>
            <w:pPr>
              <w:pStyle w:val="36"/>
              <w:bidi w:val="0"/>
              <w:rPr>
                <w:rFonts w:hint="default" w:ascii="Times New Roman" w:hAnsi="Times New Roman" w:cs="Times New Roman"/>
                <w:lang w:val="en-US" w:eastAsia="zh-CN"/>
              </w:rPr>
            </w:pPr>
            <w:r>
              <w:rPr>
                <w:rFonts w:hint="default" w:ascii="Times New Roman" w:hAnsi="Times New Roman" w:cs="Times New Roman"/>
                <w:lang w:val="en-US" w:eastAsia="zh-CN"/>
              </w:rPr>
              <w:t>表2-7环评批复（</w:t>
            </w:r>
            <w:r>
              <w:rPr>
                <w:rFonts w:hint="default" w:ascii="Times New Roman" w:hAnsi="Times New Roman" w:eastAsia="宋体" w:cs="Times New Roman"/>
                <w:spacing w:val="2"/>
                <w:sz w:val="24"/>
                <w:szCs w:val="24"/>
                <w:lang w:val="en-US" w:eastAsia="zh-CN"/>
              </w:rPr>
              <w:t>澄</w:t>
            </w:r>
            <w:r>
              <w:rPr>
                <w:rFonts w:hint="default" w:ascii="Times New Roman" w:hAnsi="Times New Roman" w:eastAsia="宋体" w:cs="Times New Roman"/>
                <w:spacing w:val="2"/>
                <w:sz w:val="24"/>
                <w:szCs w:val="24"/>
              </w:rPr>
              <w:t>环审〔</w:t>
            </w:r>
            <w:r>
              <w:rPr>
                <w:rFonts w:hint="default" w:ascii="Times New Roman" w:hAnsi="Times New Roman" w:eastAsia="宋体" w:cs="Times New Roman"/>
                <w:spacing w:val="2"/>
                <w:sz w:val="24"/>
                <w:szCs w:val="24"/>
                <w:lang w:val="en-US" w:eastAsia="zh-CN"/>
              </w:rPr>
              <w:t>2022</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2"/>
                <w:sz w:val="24"/>
                <w:szCs w:val="24"/>
                <w:lang w:val="en-US" w:eastAsia="zh-CN"/>
              </w:rPr>
              <w:t>13</w:t>
            </w:r>
            <w:r>
              <w:rPr>
                <w:rFonts w:hint="default" w:ascii="Times New Roman" w:hAnsi="Times New Roman" w:eastAsia="宋体" w:cs="Times New Roman"/>
                <w:spacing w:val="2"/>
                <w:sz w:val="24"/>
                <w:szCs w:val="24"/>
              </w:rPr>
              <w:t>号</w:t>
            </w:r>
            <w:r>
              <w:rPr>
                <w:rFonts w:hint="default" w:ascii="Times New Roman" w:hAnsi="Times New Roman" w:cs="Times New Roman"/>
                <w:lang w:val="en-US" w:eastAsia="zh-CN"/>
              </w:rPr>
              <w:t>）及执行情况调查表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3817"/>
              <w:gridCol w:w="2922"/>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8" w:type="pct"/>
                  <w:tcBorders>
                    <w:tl2br w:val="nil"/>
                    <w:tr2bl w:val="nil"/>
                  </w:tcBorders>
                  <w:noWrap w:val="0"/>
                  <w:vAlign w:val="center"/>
                </w:tcPr>
                <w:p>
                  <w:pPr>
                    <w:pStyle w:val="45"/>
                    <w:bidi/>
                    <w:jc w:val="center"/>
                    <w:rPr>
                      <w:rFonts w:hint="default" w:ascii="Times New Roman" w:hAnsi="Times New Roman" w:cs="Times New Roman"/>
                      <w:b/>
                      <w:bCs w:val="0"/>
                    </w:rPr>
                  </w:pPr>
                  <w:r>
                    <w:rPr>
                      <w:rFonts w:hint="default" w:ascii="Times New Roman" w:hAnsi="Times New Roman" w:cs="Times New Roman"/>
                      <w:b/>
                      <w:bCs w:val="0"/>
                    </w:rPr>
                    <w:t>序号</w:t>
                  </w:r>
                </w:p>
              </w:tc>
              <w:tc>
                <w:tcPr>
                  <w:tcW w:w="2407" w:type="pct"/>
                  <w:tcBorders>
                    <w:tl2br w:val="nil"/>
                    <w:tr2bl w:val="nil"/>
                  </w:tcBorders>
                  <w:noWrap w:val="0"/>
                  <w:vAlign w:val="center"/>
                </w:tcPr>
                <w:p>
                  <w:pPr>
                    <w:pStyle w:val="45"/>
                    <w:bidi/>
                    <w:jc w:val="center"/>
                    <w:rPr>
                      <w:rFonts w:hint="default" w:ascii="Times New Roman" w:hAnsi="Times New Roman" w:cs="Times New Roman"/>
                      <w:b/>
                      <w:bCs w:val="0"/>
                    </w:rPr>
                  </w:pPr>
                  <w:r>
                    <w:rPr>
                      <w:rFonts w:hint="default" w:ascii="Times New Roman" w:hAnsi="Times New Roman" w:cs="Times New Roman"/>
                      <w:b/>
                      <w:bCs w:val="0"/>
                    </w:rPr>
                    <w:t>《报告表》批复要求的环境保护措施</w:t>
                  </w:r>
                </w:p>
              </w:tc>
              <w:tc>
                <w:tcPr>
                  <w:tcW w:w="1843" w:type="pct"/>
                  <w:tcBorders>
                    <w:tl2br w:val="nil"/>
                    <w:tr2bl w:val="nil"/>
                  </w:tcBorders>
                  <w:noWrap w:val="0"/>
                  <w:vAlign w:val="center"/>
                </w:tcPr>
                <w:p>
                  <w:pPr>
                    <w:pStyle w:val="45"/>
                    <w:bidi/>
                    <w:jc w:val="center"/>
                    <w:rPr>
                      <w:rFonts w:hint="default" w:ascii="Times New Roman" w:hAnsi="Times New Roman" w:cs="Times New Roman"/>
                      <w:b/>
                      <w:bCs w:val="0"/>
                    </w:rPr>
                  </w:pPr>
                  <w:r>
                    <w:rPr>
                      <w:rFonts w:hint="default" w:ascii="Times New Roman" w:hAnsi="Times New Roman" w:cs="Times New Roman"/>
                      <w:b/>
                      <w:bCs w:val="0"/>
                    </w:rPr>
                    <w:t>建设单位落实情况</w:t>
                  </w:r>
                </w:p>
              </w:tc>
              <w:tc>
                <w:tcPr>
                  <w:tcW w:w="479" w:type="pct"/>
                  <w:tcBorders>
                    <w:tl2br w:val="nil"/>
                    <w:tr2bl w:val="nil"/>
                  </w:tcBorders>
                  <w:noWrap w:val="0"/>
                  <w:vAlign w:val="center"/>
                </w:tcPr>
                <w:p>
                  <w:pPr>
                    <w:pStyle w:val="45"/>
                    <w:bidi/>
                    <w:jc w:val="center"/>
                    <w:rPr>
                      <w:rFonts w:hint="default" w:ascii="Times New Roman" w:hAnsi="Times New Roman" w:cs="Times New Roman"/>
                      <w:b/>
                      <w:bCs w:val="0"/>
                      <w:lang w:val="en-US" w:eastAsia="zh-CN"/>
                    </w:rPr>
                  </w:pPr>
                  <w:r>
                    <w:rPr>
                      <w:rFonts w:hint="default" w:ascii="Times New Roman" w:hAnsi="Times New Roman" w:cs="Times New Roman"/>
                      <w:b/>
                      <w:bCs w:val="0"/>
                      <w:lang w:val="en-US" w:eastAsia="zh-CN"/>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8" w:type="pct"/>
                  <w:tcBorders>
                    <w:tl2br w:val="nil"/>
                    <w:tr2bl w:val="nil"/>
                  </w:tcBorders>
                  <w:noWrap w:val="0"/>
                  <w:vAlign w:val="center"/>
                </w:tcPr>
                <w:p>
                  <w:pPr>
                    <w:pStyle w:val="45"/>
                    <w:bidi/>
                    <w:jc w:val="center"/>
                    <w:rPr>
                      <w:rFonts w:hint="default" w:ascii="Times New Roman" w:hAnsi="Times New Roman" w:cs="Times New Roman"/>
                      <w:b w:val="0"/>
                      <w:bCs/>
                    </w:rPr>
                  </w:pPr>
                  <w:r>
                    <w:rPr>
                      <w:rFonts w:hint="default" w:ascii="Times New Roman" w:hAnsi="Times New Roman" w:cs="Times New Roman"/>
                      <w:b w:val="0"/>
                      <w:bCs/>
                    </w:rPr>
                    <w:t>1</w:t>
                  </w:r>
                </w:p>
              </w:tc>
              <w:tc>
                <w:tcPr>
                  <w:tcW w:w="2407" w:type="pct"/>
                  <w:tcBorders>
                    <w:tl2br w:val="nil"/>
                    <w:tr2bl w:val="nil"/>
                  </w:tcBorders>
                  <w:noWrap w:val="0"/>
                  <w:vAlign w:val="top"/>
                </w:tcPr>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该项目位于云南省玉溪市澄江市龙街街道办事处提古社区提古一组(云南鑫成鹏高分子科技有限公司3号厂房内)，该项目于2022年3月25日取得澄江市发展和改革局下发的《澄江市投资项目备案证》，备案号(项目代码)为2203-530422-04-01-254496。项目总投资1000万元(其中环保投资17.1万元，用于建设</w:t>
                  </w:r>
                  <w:r>
                    <w:rPr>
                      <w:rFonts w:hint="eastAsia" w:ascii="Times New Roman" w:hAnsi="Times New Roman" w:cs="Times New Roman"/>
                      <w:b w:val="0"/>
                      <w:bCs/>
                      <w:lang w:val="en-US" w:eastAsia="zh-CN"/>
                    </w:rPr>
                    <w:t>油水分离器</w:t>
                  </w:r>
                  <w:r>
                    <w:rPr>
                      <w:rFonts w:hint="default" w:ascii="Times New Roman" w:hAnsi="Times New Roman" w:cs="Times New Roman"/>
                      <w:b w:val="0"/>
                      <w:bCs/>
                      <w:lang w:val="en-US" w:eastAsia="zh-CN"/>
                    </w:rPr>
                    <w:t>、危废暂存间、排气筒等环保工程)。总用地面积为4100㎡，共设置1条钢化玻璃加工生产线、2条中空玻璃加工生产线。</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我局原则同意《报告表》环境影响评价总体结论和各项生态环境保护措施。</w:t>
                  </w:r>
                </w:p>
              </w:tc>
              <w:tc>
                <w:tcPr>
                  <w:tcW w:w="1843" w:type="pct"/>
                  <w:tcBorders>
                    <w:tl2br w:val="nil"/>
                    <w:tr2bl w:val="nil"/>
                  </w:tcBorders>
                  <w:noWrap w:val="0"/>
                  <w:vAlign w:val="center"/>
                </w:tcPr>
                <w:p>
                  <w:pPr>
                    <w:pStyle w:val="45"/>
                    <w:bidi/>
                    <w:rPr>
                      <w:rFonts w:hint="default" w:ascii="Times New Roman" w:hAnsi="Times New Roman" w:cs="Times New Roman"/>
                      <w:b w:val="0"/>
                      <w:bCs/>
                      <w:lang w:val="en-US"/>
                    </w:rPr>
                  </w:pPr>
                  <w:r>
                    <w:rPr>
                      <w:rFonts w:hint="default" w:ascii="Times New Roman" w:hAnsi="Times New Roman" w:cs="Times New Roman"/>
                      <w:b w:val="0"/>
                      <w:bCs/>
                      <w:lang w:val="en-US" w:eastAsia="zh-CN"/>
                    </w:rPr>
                    <w:t>根据2023年4月21~22日现场调查，</w:t>
                  </w:r>
                  <w:r>
                    <w:rPr>
                      <w:rFonts w:hint="default" w:ascii="Times New Roman" w:hAnsi="Times New Roman" w:cs="Times New Roman"/>
                      <w:b w:val="0"/>
                      <w:bCs/>
                    </w:rPr>
                    <w:t>项目实际</w:t>
                  </w:r>
                  <w:r>
                    <w:rPr>
                      <w:rFonts w:hint="default" w:ascii="Times New Roman" w:hAnsi="Times New Roman" w:cs="Times New Roman"/>
                      <w:b w:val="0"/>
                      <w:bCs/>
                      <w:lang w:val="en-US" w:eastAsia="zh-CN"/>
                    </w:rPr>
                    <w:t>建设过程中</w:t>
                  </w:r>
                  <w:r>
                    <w:rPr>
                      <w:rFonts w:hint="default" w:ascii="Times New Roman" w:hAnsi="Times New Roman" w:cs="Times New Roman"/>
                      <w:b w:val="0"/>
                      <w:bCs/>
                    </w:rPr>
                    <w:t>，</w:t>
                  </w:r>
                  <w:r>
                    <w:rPr>
                      <w:rFonts w:hint="default" w:ascii="Times New Roman" w:hAnsi="Times New Roman" w:cs="Times New Roman"/>
                      <w:b w:val="0"/>
                      <w:bCs/>
                      <w:lang w:val="en-US" w:eastAsia="zh-CN"/>
                    </w:rPr>
                    <w:t>总占地面积4100㎡，总建筑面积4100㎡。项目设置1条钢化玻璃加工生产线、2条中空玻璃加工生产线。项目实际总投资1000万元，其中环保投资19.1万元。</w:t>
                  </w:r>
                </w:p>
              </w:tc>
              <w:tc>
                <w:tcPr>
                  <w:tcW w:w="479" w:type="pct"/>
                  <w:tcBorders>
                    <w:tl2br w:val="nil"/>
                    <w:tr2bl w:val="nil"/>
                  </w:tcBorders>
                  <w:noWrap w:val="0"/>
                  <w:vAlign w:val="center"/>
                </w:tcPr>
                <w:p>
                  <w:pPr>
                    <w:pStyle w:val="45"/>
                    <w:bidi/>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满足环评批复要求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268" w:type="pct"/>
                  <w:tcBorders>
                    <w:tl2br w:val="nil"/>
                    <w:tr2bl w:val="nil"/>
                  </w:tcBorders>
                  <w:noWrap w:val="0"/>
                  <w:vAlign w:val="center"/>
                </w:tcPr>
                <w:p>
                  <w:pPr>
                    <w:pStyle w:val="45"/>
                    <w:bidi/>
                    <w:jc w:val="center"/>
                    <w:rPr>
                      <w:rFonts w:hint="default" w:ascii="Times New Roman" w:hAnsi="Times New Roman" w:cs="Times New Roman"/>
                      <w:b w:val="0"/>
                      <w:bCs/>
                    </w:rPr>
                  </w:pPr>
                  <w:r>
                    <w:rPr>
                      <w:rFonts w:hint="default" w:ascii="Times New Roman" w:hAnsi="Times New Roman" w:cs="Times New Roman"/>
                      <w:b w:val="0"/>
                      <w:bCs/>
                    </w:rPr>
                    <w:t>2</w:t>
                  </w:r>
                </w:p>
              </w:tc>
              <w:tc>
                <w:tcPr>
                  <w:tcW w:w="2407" w:type="pct"/>
                  <w:tcBorders>
                    <w:tl2br w:val="nil"/>
                    <w:tr2bl w:val="nil"/>
                  </w:tcBorders>
                  <w:noWrap w:val="0"/>
                  <w:vAlign w:val="center"/>
                </w:tcPr>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(一)总体要求</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项目实施过程中应严格执行需配套建设的环保设施与主体工程同时设计、同时施工、同时投入使用的环境保护“三同时”制度，全面落实环境影响报告表中提出的各项污染防治措施。</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(二)加强施工期间环境管理</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该项目租用云南鑫成鹏高分子有限公司已建设好的厂房、场地及相关配套设施进行生产建设，施工期施工内容主要为安装相应的生产设施及环保设备和建设环保设施。</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1.加强施工期大气污染防治。项目施工粉尘以及车辆扬尘及时采取洒水抑尘措施，减少空气污染。</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加强施工期废水处置。项目施工期主要进行设备安装、调试，不产生施工废水，施工人员不在场地食宿，废水主要为施工人员的生活污水。施工人员洗漱、入厕均在云南鑫成鹏高分子有限公司的厕所内进行，食堂废水经</w:t>
                  </w:r>
                  <w:r>
                    <w:rPr>
                      <w:rFonts w:hint="eastAsia" w:ascii="Times New Roman" w:hAnsi="Times New Roman" w:cs="Times New Roman"/>
                      <w:b w:val="0"/>
                      <w:bCs/>
                      <w:lang w:val="en-US" w:eastAsia="zh-CN"/>
                    </w:rPr>
                    <w:t>油水分离器</w:t>
                  </w:r>
                  <w:r>
                    <w:rPr>
                      <w:rFonts w:hint="default" w:ascii="Times New Roman" w:hAnsi="Times New Roman" w:cs="Times New Roman"/>
                      <w:b w:val="0"/>
                      <w:bCs/>
                      <w:lang w:val="en-US" w:eastAsia="zh-CN"/>
                    </w:rPr>
                    <w:t>处理后与其他生活污水一起经化粪池处理后，进入云南鑫成鹏高分子有限公司自建的一体化污水处理设施处理达标后晴天回用于云南鑫成鹏高分子有限公司的绿化及道路洒水降尘，不外排，雨天暂存于回用水池。</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3.加强运营期噪声污染防治。施工期噪声主要为设备安装时的敲击声，通过厂房进行隔声，并禁止施工人员抛掷物品，搬运时尽量轻拿轻放，合理安排施工时间(中午(12:00~14:00)和夜间(22:00~次日6:00)不施工)。</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4.严格落实一般固体废物分类处置措施。项目施工期间产生的设备包装材料、螺丝、铁丝等金属零件，装修过程中产生的装修垃圾和包装袋、塑料泡沫经收集后外售废品收购站。建筑垃圾集中收集后回收利用，不能回收利用的建筑垃圾运至指定地点处置；施工人员生活垃圾经收集后由环卫部门清运处置。</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(三)加强运营期间环境管理</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加强运营期大气污染防治。玻璃原片磨边和打孔、集气罩未收集的废气通过自由沉降于机器周围后，人工定期清扫；中空玻璃密封工序产生的非甲烷总烃、甲苯、二甲苯等污染物通过UV光氧+活性炭吸附设备处理，达到《大气污染物综合排放标准》GB16297-1996)表2二级排放限值后由15m高排气筒排放；食堂产生的油烟由抽油烟机净化后达到《饮食业油烟排放标准(GB18483-2001)中小型规模标准后排放。</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严格落实运营期水污染防治。一是项目磨边废水以及玻璃清洗用水(不使用任何清洗剂)，主要污染物为SS(玻璃粉末)。磨边废水以及清洗废水流入机器自带的沉淀槽经静置沉淀后，上层清液进入循环水池循环回用，下层玻璃粉末结块后捞出作为固废处置不外排。二是运营期食堂废水经</w:t>
                  </w:r>
                  <w:r>
                    <w:rPr>
                      <w:rFonts w:hint="eastAsia" w:ascii="Times New Roman" w:hAnsi="Times New Roman" w:cs="Times New Roman"/>
                      <w:b w:val="0"/>
                      <w:bCs/>
                      <w:lang w:val="en-US" w:eastAsia="zh-CN"/>
                    </w:rPr>
                    <w:t>油水分离器</w:t>
                  </w:r>
                  <w:r>
                    <w:rPr>
                      <w:rFonts w:hint="default" w:ascii="Times New Roman" w:hAnsi="Times New Roman" w:cs="Times New Roman"/>
                      <w:b w:val="0"/>
                      <w:bCs/>
                      <w:lang w:val="en-US" w:eastAsia="zh-CN"/>
                    </w:rPr>
                    <w:t>处理后与其他生活污水一起排入依托云南鑫成鹏高分子有限公司3号厂房的化粪池处理后，进入云南鑫成鹏高分子有限公司自建的一体化污水处理设施处理达标后晴天回用于云南鑫成鹏高分子有限公司的绿化及道路洒水降尘，不外排，雨天暂存于回用水池。三是提古工业园区污水处理厂建成运行后，该厂食堂含油废水经隔油处理后与经化粪池处理后的生活污水达到《污水排入城镇下水道水质标准》排入园区污水管网，最后进入园区污水处理厂处理。</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加强运营期噪声污染防治。合理布局生产设备，优先选用低噪声设备，将高噪声设备设置在车间内；对高噪声设备中的机械噪声源加装减震垫降噪；加强生产设备的维修、管理，保证生产设备处于低噪、高效状态，保证厂界环境噪声达到《工业企业厂界环境噪声排放标准》(GB12348-2008)3类标准要求。</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4.严格落实一般固体废物分类处置措施。该项目运营期产生的生活垃圾、餐饮垃圾、</w:t>
                  </w:r>
                  <w:r>
                    <w:rPr>
                      <w:rFonts w:hint="eastAsia" w:ascii="Times New Roman" w:hAnsi="Times New Roman" w:cs="Times New Roman"/>
                      <w:b w:val="0"/>
                      <w:bCs/>
                      <w:lang w:val="en-US" w:eastAsia="zh-CN"/>
                    </w:rPr>
                    <w:t>油水分离器</w:t>
                  </w:r>
                  <w:r>
                    <w:rPr>
                      <w:rFonts w:hint="default" w:ascii="Times New Roman" w:hAnsi="Times New Roman" w:cs="Times New Roman"/>
                      <w:b w:val="0"/>
                      <w:bCs/>
                      <w:lang w:val="en-US" w:eastAsia="zh-CN"/>
                    </w:rPr>
                    <w:t>油污、化粪池污泥、一体化污水处理设施委托环卫部门定期清掏和清运处置。废玻璃边角料、玻璃次品、包装固废、沉淀槽收集的玻璃碎屑外售处理、废弃密封胶桶由厂家定期回收，严禁随意处置。本项目一般工业固废执行《一般工业固体废物贮存、处置场污染控制标准》(GB18599-2020)(2021年7月1日实施)。</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5.严格规范危险废物暂存及处置措施。该项目危险废物包含废润滑油、废润滑油桶、废活性炭、废UV灯管、废含油手套等，严格按照《危险废物贮存污染物控制标准》(</w:t>
                  </w:r>
                  <w:r>
                    <w:rPr>
                      <w:rFonts w:hint="eastAsia" w:ascii="Times New Roman" w:hAnsi="Times New Roman" w:cs="Times New Roman"/>
                      <w:b w:val="0"/>
                      <w:bCs/>
                      <w:lang w:val="en-US" w:eastAsia="zh-CN"/>
                    </w:rPr>
                    <w:t>GB18597-2023</w:t>
                  </w:r>
                  <w:r>
                    <w:rPr>
                      <w:rFonts w:hint="default" w:ascii="Times New Roman" w:hAnsi="Times New Roman" w:cs="Times New Roman"/>
                      <w:b w:val="0"/>
                      <w:bCs/>
                      <w:lang w:val="en-US" w:eastAsia="zh-CN"/>
                    </w:rPr>
                    <w:t>)分类收集和暂存，按要求委托有相应资质的单位处置，严禁外卖或随意处置。</w:t>
                  </w:r>
                </w:p>
                <w:p>
                  <w:pPr>
                    <w:pStyle w:val="45"/>
                    <w:bidi/>
                    <w:rPr>
                      <w:rFonts w:hint="default" w:ascii="Times New Roman" w:hAnsi="Times New Roman" w:cs="Times New Roman"/>
                      <w:b w:val="0"/>
                      <w:bCs/>
                      <w:lang w:val="en-US" w:eastAsia="zh-CN"/>
                    </w:rPr>
                  </w:pPr>
                </w:p>
              </w:tc>
              <w:tc>
                <w:tcPr>
                  <w:tcW w:w="1843" w:type="pct"/>
                  <w:tcBorders>
                    <w:tl2br w:val="nil"/>
                    <w:tr2bl w:val="nil"/>
                  </w:tcBorders>
                  <w:noWrap w:val="0"/>
                  <w:vAlign w:val="center"/>
                </w:tcPr>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（一）根据2023年4月21~22日现场调查，</w:t>
                  </w:r>
                  <w:r>
                    <w:rPr>
                      <w:rFonts w:hint="default" w:ascii="Times New Roman" w:hAnsi="Times New Roman" w:cs="Times New Roman"/>
                      <w:b w:val="0"/>
                      <w:bCs/>
                    </w:rPr>
                    <w:t>项目实际</w:t>
                  </w:r>
                  <w:r>
                    <w:rPr>
                      <w:rFonts w:hint="default" w:ascii="Times New Roman" w:hAnsi="Times New Roman" w:cs="Times New Roman"/>
                      <w:b w:val="0"/>
                      <w:bCs/>
                      <w:lang w:val="en-US" w:eastAsia="zh-CN"/>
                    </w:rPr>
                    <w:t>建设过程中已严格执行环境保护设施与主体工程同时设计、同时施工、同时投入使用的环保“三同时”制度同时将环境保护设施建设纳入施工合同，已强化措施落实。</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（二）根据现场调查，施工期已结束，施工期间未收到任何环境污染投诉举报。</w:t>
                  </w:r>
                </w:p>
                <w:p>
                  <w:pPr>
                    <w:pStyle w:val="45"/>
                    <w:bidi/>
                    <w:rPr>
                      <w:rFonts w:hint="default" w:ascii="Times New Roman" w:hAnsi="Times New Roman" w:cs="Times New Roman"/>
                      <w:b w:val="0"/>
                      <w:bCs/>
                      <w:lang w:val="en-US" w:eastAsia="zh-CN"/>
                    </w:rPr>
                  </w:pPr>
                </w:p>
                <w:p>
                  <w:pPr>
                    <w:pStyle w:val="45"/>
                    <w:bidi/>
                    <w:rPr>
                      <w:rFonts w:hint="default" w:ascii="Times New Roman" w:hAnsi="Times New Roman" w:cs="Times New Roman"/>
                      <w:b w:val="0"/>
                      <w:bCs/>
                      <w:lang w:val="en-US" w:eastAsia="zh-CN"/>
                    </w:rPr>
                  </w:pPr>
                </w:p>
                <w:p>
                  <w:pPr>
                    <w:pStyle w:val="45"/>
                    <w:bidi/>
                    <w:rPr>
                      <w:rFonts w:hint="default" w:ascii="Times New Roman" w:hAnsi="Times New Roman" w:cs="Times New Roman"/>
                      <w:b w:val="0"/>
                      <w:bCs/>
                      <w:lang w:val="en-US" w:eastAsia="zh-CN"/>
                    </w:rPr>
                  </w:pPr>
                </w:p>
                <w:p>
                  <w:pPr>
                    <w:pStyle w:val="45"/>
                    <w:bidi/>
                    <w:rPr>
                      <w:rFonts w:hint="default" w:ascii="Times New Roman" w:hAnsi="Times New Roman" w:cs="Times New Roman"/>
                      <w:b w:val="0"/>
                      <w:bCs/>
                      <w:lang w:val="en-US" w:eastAsia="zh-CN"/>
                    </w:rPr>
                  </w:pPr>
                </w:p>
                <w:p>
                  <w:pPr>
                    <w:pStyle w:val="45"/>
                    <w:bidi/>
                    <w:rPr>
                      <w:rFonts w:hint="default" w:ascii="Times New Roman" w:hAnsi="Times New Roman" w:cs="Times New Roman"/>
                      <w:b w:val="0"/>
                      <w:bCs/>
                      <w:lang w:val="en-US" w:eastAsia="zh-CN"/>
                    </w:rPr>
                  </w:pPr>
                </w:p>
                <w:p>
                  <w:pPr>
                    <w:pStyle w:val="45"/>
                    <w:bidi/>
                    <w:rPr>
                      <w:rFonts w:hint="default" w:ascii="Times New Roman" w:hAnsi="Times New Roman" w:cs="Times New Roman"/>
                      <w:b w:val="0"/>
                      <w:bCs/>
                      <w:lang w:val="en-US" w:eastAsia="zh-CN"/>
                    </w:rPr>
                  </w:pPr>
                </w:p>
                <w:p>
                  <w:pPr>
                    <w:pStyle w:val="45"/>
                    <w:bidi/>
                    <w:rPr>
                      <w:rFonts w:hint="default" w:ascii="Times New Roman" w:hAnsi="Times New Roman" w:cs="Times New Roman"/>
                      <w:b w:val="0"/>
                      <w:bCs/>
                      <w:lang w:val="en-US" w:eastAsia="zh-CN"/>
                    </w:rPr>
                  </w:pPr>
                </w:p>
                <w:p>
                  <w:pPr>
                    <w:pStyle w:val="45"/>
                    <w:bidi/>
                    <w:rPr>
                      <w:rFonts w:hint="default" w:ascii="Times New Roman" w:hAnsi="Times New Roman" w:cs="Times New Roman"/>
                      <w:b w:val="0"/>
                      <w:bCs/>
                      <w:lang w:val="en-US" w:eastAsia="zh-CN"/>
                    </w:rPr>
                  </w:pPr>
                </w:p>
                <w:p>
                  <w:pPr>
                    <w:pStyle w:val="45"/>
                    <w:bidi/>
                    <w:rPr>
                      <w:rFonts w:hint="default" w:ascii="Times New Roman" w:hAnsi="Times New Roman" w:cs="Times New Roman"/>
                      <w:b w:val="0"/>
                      <w:bCs/>
                      <w:lang w:val="en-US" w:eastAsia="zh-CN"/>
                    </w:rPr>
                  </w:pPr>
                </w:p>
                <w:p>
                  <w:pPr>
                    <w:pStyle w:val="45"/>
                    <w:bidi/>
                    <w:rPr>
                      <w:rFonts w:hint="default" w:ascii="Times New Roman" w:hAnsi="Times New Roman" w:cs="Times New Roman"/>
                      <w:b w:val="0"/>
                      <w:bCs/>
                      <w:lang w:val="en-US" w:eastAsia="zh-CN"/>
                    </w:rPr>
                  </w:pPr>
                </w:p>
                <w:p>
                  <w:pPr>
                    <w:pStyle w:val="45"/>
                    <w:bidi/>
                    <w:rPr>
                      <w:rFonts w:hint="default" w:ascii="Times New Roman" w:hAnsi="Times New Roman" w:cs="Times New Roman"/>
                      <w:b w:val="0"/>
                      <w:bCs/>
                      <w:lang w:val="en-US" w:eastAsia="zh-CN"/>
                    </w:rPr>
                  </w:pPr>
                </w:p>
                <w:p>
                  <w:pPr>
                    <w:pStyle w:val="45"/>
                    <w:bidi/>
                    <w:rPr>
                      <w:rFonts w:hint="default" w:ascii="Times New Roman" w:hAnsi="Times New Roman" w:cs="Times New Roman"/>
                      <w:b w:val="0"/>
                      <w:bCs/>
                      <w:lang w:val="en-US" w:eastAsia="zh-CN"/>
                    </w:rPr>
                  </w:pPr>
                </w:p>
                <w:p>
                  <w:pPr>
                    <w:pStyle w:val="45"/>
                    <w:bidi/>
                    <w:rPr>
                      <w:rFonts w:hint="default" w:ascii="Times New Roman" w:hAnsi="Times New Roman" w:cs="Times New Roman"/>
                      <w:b w:val="0"/>
                      <w:bCs/>
                      <w:lang w:val="en-US" w:eastAsia="zh-CN"/>
                    </w:rPr>
                  </w:pPr>
                </w:p>
                <w:p>
                  <w:pPr>
                    <w:pStyle w:val="45"/>
                    <w:bidi/>
                    <w:rPr>
                      <w:rFonts w:hint="default" w:ascii="Times New Roman" w:hAnsi="Times New Roman" w:cs="Times New Roman"/>
                      <w:b w:val="0"/>
                      <w:bCs/>
                      <w:lang w:val="en-US" w:eastAsia="zh-CN"/>
                    </w:rPr>
                  </w:pPr>
                </w:p>
                <w:p>
                  <w:pPr>
                    <w:pStyle w:val="45"/>
                    <w:bidi/>
                    <w:rPr>
                      <w:rFonts w:hint="default" w:ascii="Times New Roman" w:hAnsi="Times New Roman" w:cs="Times New Roman"/>
                      <w:b w:val="0"/>
                      <w:bCs/>
                      <w:lang w:val="en-US" w:eastAsia="zh-CN"/>
                    </w:rPr>
                  </w:pPr>
                </w:p>
                <w:p>
                  <w:pPr>
                    <w:pStyle w:val="45"/>
                    <w:bidi/>
                    <w:rPr>
                      <w:rFonts w:hint="default" w:ascii="Times New Roman" w:hAnsi="Times New Roman" w:cs="Times New Roman"/>
                      <w:b w:val="0"/>
                      <w:bCs/>
                    </w:rPr>
                  </w:pPr>
                  <w:r>
                    <w:rPr>
                      <w:rFonts w:hint="default" w:ascii="Times New Roman" w:hAnsi="Times New Roman" w:cs="Times New Roman"/>
                      <w:b w:val="0"/>
                      <w:bCs/>
                      <w:lang w:val="en-US" w:eastAsia="zh-CN"/>
                    </w:rPr>
                    <w:t>（三）根据调查，</w:t>
                  </w:r>
                  <w:r>
                    <w:rPr>
                      <w:rFonts w:hint="default" w:ascii="Times New Roman" w:hAnsi="Times New Roman" w:cs="Times New Roman"/>
                      <w:b w:val="0"/>
                      <w:bCs/>
                    </w:rPr>
                    <w:t>项目运营期产生的废气主要</w:t>
                  </w:r>
                  <w:r>
                    <w:rPr>
                      <w:rFonts w:hint="default" w:ascii="Times New Roman" w:hAnsi="Times New Roman" w:cs="Times New Roman"/>
                      <w:b w:val="0"/>
                      <w:bCs/>
                      <w:lang w:val="en-US" w:eastAsia="zh-CN"/>
                    </w:rPr>
                    <w:t>为有机废气（非甲烷总烃）、甲苯、二甲苯</w:t>
                  </w:r>
                  <w:r>
                    <w:rPr>
                      <w:rFonts w:hint="default" w:ascii="Times New Roman" w:hAnsi="Times New Roman" w:cs="Times New Roman"/>
                      <w:b w:val="0"/>
                      <w:bCs/>
                    </w:rPr>
                    <w:t>。</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a：本项目在密封工段设置集气罩。收集有机废气（非甲烷总烃）、甲苯、二甲苯后，由引风机引入一套UV光氧催化+活性炭吸附装置进行处理，最后由15m高的1#排气筒排放。</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b：根据</w:t>
                  </w:r>
                  <w:r>
                    <w:rPr>
                      <w:rFonts w:hint="default" w:ascii="Times New Roman" w:hAnsi="Times New Roman" w:cs="Times New Roman"/>
                      <w:b w:val="0"/>
                      <w:bCs/>
                    </w:rPr>
                    <w:t>贵州鼎拔检测有限公司</w:t>
                  </w:r>
                  <w:r>
                    <w:rPr>
                      <w:rFonts w:hint="default" w:ascii="Times New Roman" w:hAnsi="Times New Roman" w:cs="Times New Roman"/>
                      <w:b w:val="0"/>
                      <w:bCs/>
                      <w:lang w:val="en-US" w:eastAsia="zh-CN"/>
                    </w:rPr>
                    <w:t>出具的监测报告编号：</w:t>
                  </w:r>
                  <w:r>
                    <w:rPr>
                      <w:rFonts w:hint="default" w:ascii="Times New Roman" w:hAnsi="Times New Roman" w:cs="Times New Roman"/>
                      <w:b w:val="0"/>
                      <w:bCs/>
                    </w:rPr>
                    <w:t>GZDB-2023-0420-0C001</w:t>
                  </w:r>
                  <w:r>
                    <w:rPr>
                      <w:rFonts w:hint="default" w:ascii="Times New Roman" w:hAnsi="Times New Roman" w:cs="Times New Roman"/>
                      <w:b w:val="0"/>
                      <w:bCs/>
                      <w:lang w:val="en-US" w:eastAsia="zh-CN"/>
                    </w:rPr>
                    <w:t>。密封工序有组织的非甲烷总烃浓度为8.32mg/m³，甲苯浓度为8.32mg/m³，二甲苯浓度为8.32mg/m³。</w:t>
                  </w:r>
                </w:p>
                <w:p>
                  <w:pPr>
                    <w:pStyle w:val="45"/>
                    <w:bidi/>
                    <w:rPr>
                      <w:rFonts w:hint="default" w:ascii="Times New Roman" w:hAnsi="Times New Roman" w:cs="Times New Roman"/>
                      <w:b w:val="0"/>
                      <w:bCs/>
                      <w:lang w:val="en-GB"/>
                    </w:rPr>
                  </w:pPr>
                  <w:r>
                    <w:rPr>
                      <w:rFonts w:hint="default" w:ascii="Times New Roman" w:hAnsi="Times New Roman" w:cs="Times New Roman"/>
                      <w:b w:val="0"/>
                      <w:bCs/>
                      <w:lang w:val="en-US" w:eastAsia="zh-CN"/>
                    </w:rPr>
                    <w:t>甲苯、二甲苯、挥发性有机物</w:t>
                  </w:r>
                  <w:r>
                    <w:rPr>
                      <w:rFonts w:hint="default" w:ascii="Times New Roman" w:hAnsi="Times New Roman" w:cs="Times New Roman"/>
                      <w:b w:val="0"/>
                      <w:bCs/>
                      <w:lang w:eastAsia="zh-CN"/>
                    </w:rPr>
                    <w:t>浓度以及排放速率</w:t>
                  </w:r>
                  <w:r>
                    <w:rPr>
                      <w:rFonts w:hint="default" w:ascii="Times New Roman" w:hAnsi="Times New Roman" w:cs="Times New Roman"/>
                      <w:b w:val="0"/>
                      <w:bCs/>
                      <w:lang w:val="en-US" w:eastAsia="zh-CN"/>
                    </w:rPr>
                    <w:t>可以达到《大气污染物综合排放标准》（GB16297-1996）表2限值二级排放限值，即非甲烷总烃排放浓度≦120mg/m³，排放速率≦5kg/h，二甲苯排放浓度≦70mg/m³，排放速率≦0.5kg/h，甲苯排放浓度≦40mg/m³，排放速率≦1.55kg/h</w:t>
                  </w:r>
                  <w:r>
                    <w:rPr>
                      <w:rFonts w:hint="default" w:ascii="Times New Roman" w:hAnsi="Times New Roman" w:cs="Times New Roman"/>
                      <w:b w:val="0"/>
                      <w:bCs/>
                    </w:rPr>
                    <w:t>（排气筒高度要高于200m半径范围的建筑物5m以上，不能达到该要求的排气筒应按其高度对应的排放速率标准值严格50%）</w:t>
                  </w:r>
                  <w:r>
                    <w:rPr>
                      <w:rFonts w:hint="default" w:ascii="Times New Roman" w:hAnsi="Times New Roman" w:cs="Times New Roman"/>
                      <w:b w:val="0"/>
                      <w:bCs/>
                      <w:lang w:val="en-GB"/>
                    </w:rPr>
                    <w:t>。</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（四）项目已经建立完善的“雨污分流”排水系统，并与区域排水系统相协调。</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近期：生活废水进入云南鑫成鹏高分子有限公司已建化粪池后，依托云南鑫成鹏高分子有限公司的一体化污水处理设施，根据</w:t>
                  </w:r>
                  <w:r>
                    <w:rPr>
                      <w:rFonts w:hint="default" w:ascii="Times New Roman" w:hAnsi="Times New Roman" w:cs="Times New Roman"/>
                      <w:b w:val="0"/>
                      <w:bCs/>
                    </w:rPr>
                    <w:t>贵州鼎拔检测有限公司报告编号：GZDB-2023-0420-0C001</w:t>
                  </w:r>
                  <w:r>
                    <w:rPr>
                      <w:rFonts w:hint="default" w:ascii="Times New Roman" w:hAnsi="Times New Roman" w:cs="Times New Roman"/>
                      <w:b w:val="0"/>
                      <w:bCs/>
                      <w:lang w:val="en-US" w:eastAsia="zh-CN"/>
                    </w:rPr>
                    <w:t>，达到《城市污水再生利用城市杂用水水质》（GB/T18920-2020）</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标准回用于绿化和道路浇洒。</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远期：食堂废水经</w:t>
                  </w:r>
                  <w:r>
                    <w:rPr>
                      <w:rFonts w:hint="eastAsia" w:ascii="Times New Roman" w:hAnsi="Times New Roman" w:cs="Times New Roman"/>
                      <w:b w:val="0"/>
                      <w:bCs/>
                      <w:lang w:val="en-US" w:eastAsia="zh-CN"/>
                    </w:rPr>
                    <w:t>油水分离器</w:t>
                  </w:r>
                  <w:r>
                    <w:rPr>
                      <w:rFonts w:hint="default" w:ascii="Times New Roman" w:hAnsi="Times New Roman" w:cs="Times New Roman"/>
                      <w:b w:val="0"/>
                      <w:bCs/>
                      <w:lang w:val="en-US" w:eastAsia="zh-CN"/>
                    </w:rPr>
                    <w:t>处理后与其他生活污水一起排入化粪池处理，经处理后达到《污水排入城镇下水道水质标准》（GB/T31962-2015）表1中A等级标准后，排入园区污水管网。</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噪声根据监测报告，本项目东、南侧厂界噪声满足《工业企业厂界环境噪声排放标准》（GB12348-2008）3类区标准，西侧、北侧临提古村满足《工业企业厂界环境噪声排放标准》（GB12348-2008）2类标准。</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本项目产生的生活垃圾、餐饮垃圾、化粪池污泥、</w:t>
                  </w:r>
                  <w:r>
                    <w:rPr>
                      <w:rFonts w:hint="eastAsia" w:ascii="Times New Roman" w:hAnsi="Times New Roman" w:cs="Times New Roman"/>
                      <w:b w:val="0"/>
                      <w:bCs/>
                      <w:lang w:val="en-US" w:eastAsia="zh-CN"/>
                    </w:rPr>
                    <w:t>油水分离器</w:t>
                  </w:r>
                  <w:r>
                    <w:rPr>
                      <w:rFonts w:hint="default" w:ascii="Times New Roman" w:hAnsi="Times New Roman" w:cs="Times New Roman"/>
                      <w:b w:val="0"/>
                      <w:bCs/>
                      <w:lang w:val="en-US" w:eastAsia="zh-CN"/>
                    </w:rPr>
                    <w:t>油污由云南鑫成鹏高分子科技有限公</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司定期委托环卫部门处置。废玻璃边角料、玻璃次品、沉淀槽收集的玻璃碎屑外售废品回收站；废包装袋外售给废品回收站。废密封胶桶由厂家昆明博亚节能材料有限公司定期回收。废润滑油、废润滑油桶、废活性炭委托云南大地丰源环保有限公司清运处置。</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（六）企业已按照报告表提出的各项要求落实风险防范措施，加强环境风险管理；按照《突发环境事件应急预案管理暂行办法》的要求，制定突发环境事件应急预案。备案号为（530422-2023-002-L）。</w:t>
                  </w:r>
                </w:p>
                <w:p>
                  <w:pPr>
                    <w:pStyle w:val="45"/>
                    <w:bidi/>
                    <w:rPr>
                      <w:rFonts w:hint="default" w:ascii="Times New Roman" w:hAnsi="Times New Roman" w:cs="Times New Roman"/>
                      <w:b w:val="0"/>
                      <w:bCs/>
                      <w:lang w:val="en-US" w:eastAsia="zh-CN"/>
                    </w:rPr>
                  </w:pPr>
                </w:p>
              </w:tc>
              <w:tc>
                <w:tcPr>
                  <w:tcW w:w="479" w:type="pct"/>
                  <w:tcBorders>
                    <w:tl2br w:val="nil"/>
                    <w:tr2bl w:val="nil"/>
                  </w:tcBorders>
                  <w:noWrap w:val="0"/>
                  <w:vAlign w:val="center"/>
                </w:tcPr>
                <w:p>
                  <w:pPr>
                    <w:pStyle w:val="45"/>
                    <w:bidi/>
                    <w:jc w:val="center"/>
                    <w:rPr>
                      <w:rFonts w:hint="default" w:ascii="Times New Roman" w:hAnsi="Times New Roman" w:cs="Times New Roman"/>
                      <w:b w:val="0"/>
                      <w:bCs/>
                    </w:rPr>
                  </w:pPr>
                  <w:r>
                    <w:rPr>
                      <w:rFonts w:hint="default" w:ascii="Times New Roman" w:hAnsi="Times New Roman" w:cs="Times New Roman"/>
                      <w:b w:val="0"/>
                      <w:bCs/>
                      <w:lang w:val="en-US" w:eastAsia="zh-CN"/>
                    </w:rPr>
                    <w:t>满足环评批复要求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8" w:type="pct"/>
                  <w:tcBorders>
                    <w:tl2br w:val="nil"/>
                    <w:tr2bl w:val="nil"/>
                  </w:tcBorders>
                  <w:noWrap w:val="0"/>
                  <w:vAlign w:val="center"/>
                </w:tcPr>
                <w:p>
                  <w:pPr>
                    <w:pStyle w:val="45"/>
                    <w:bidi/>
                    <w:jc w:val="center"/>
                    <w:rPr>
                      <w:rFonts w:hint="default" w:ascii="Times New Roman" w:hAnsi="Times New Roman" w:cs="Times New Roman"/>
                      <w:b w:val="0"/>
                      <w:bCs/>
                    </w:rPr>
                  </w:pPr>
                  <w:r>
                    <w:rPr>
                      <w:rFonts w:hint="default" w:ascii="Times New Roman" w:hAnsi="Times New Roman" w:cs="Times New Roman"/>
                      <w:b w:val="0"/>
                      <w:bCs/>
                    </w:rPr>
                    <w:t>3</w:t>
                  </w:r>
                </w:p>
              </w:tc>
              <w:tc>
                <w:tcPr>
                  <w:tcW w:w="2407" w:type="pct"/>
                  <w:tcBorders>
                    <w:tl2br w:val="nil"/>
                    <w:tr2bl w:val="nil"/>
                  </w:tcBorders>
                  <w:noWrap w:val="0"/>
                  <w:vAlign w:val="center"/>
                </w:tcPr>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该项目环境影响报告表经批准后，若发生重大变动，须另行开展环境影响评价并重新报批。自报告表批准之日起，如超过5年项目方开工建设的，报告表应当报我局重新审批。项目建成投入试运行后，及时按规定要求自主开展竣工环保验收，经验收合格后方可正式投入运行。澄江市生态环境保护综合行政执法大队负责对该项目开展环境执法监督检查。</w:t>
                  </w:r>
                </w:p>
              </w:tc>
              <w:tc>
                <w:tcPr>
                  <w:tcW w:w="1843" w:type="pct"/>
                  <w:tcBorders>
                    <w:tl2br w:val="nil"/>
                    <w:tr2bl w:val="nil"/>
                  </w:tcBorders>
                  <w:noWrap w:val="0"/>
                  <w:vAlign w:val="center"/>
                </w:tcPr>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根据2023年4月21~22日现场调查现场调查，</w:t>
                  </w:r>
                  <w:r>
                    <w:rPr>
                      <w:rFonts w:hint="default" w:ascii="Times New Roman" w:hAnsi="Times New Roman" w:cs="Times New Roman"/>
                      <w:b w:val="0"/>
                      <w:bCs/>
                    </w:rPr>
                    <w:t>项目实际</w:t>
                  </w:r>
                  <w:r>
                    <w:rPr>
                      <w:rFonts w:hint="default" w:ascii="Times New Roman" w:hAnsi="Times New Roman" w:cs="Times New Roman"/>
                      <w:b w:val="0"/>
                      <w:bCs/>
                      <w:lang w:val="en-US" w:eastAsia="zh-CN"/>
                    </w:rPr>
                    <w:t>建设过程中无重大变化，建设单位已承诺按照《报告表》所述建设项目的性质、规模地点、工艺内容以及环境保护对策措施进行建设。</w:t>
                  </w:r>
                </w:p>
                <w:p>
                  <w:pPr>
                    <w:pStyle w:val="45"/>
                    <w:bidi/>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项目已依法配合环境监察大队的日常环境监管。</w:t>
                  </w:r>
                </w:p>
              </w:tc>
              <w:tc>
                <w:tcPr>
                  <w:tcW w:w="479" w:type="pct"/>
                  <w:tcBorders>
                    <w:tl2br w:val="nil"/>
                    <w:tr2bl w:val="nil"/>
                  </w:tcBorders>
                  <w:noWrap w:val="0"/>
                  <w:vAlign w:val="center"/>
                </w:tcPr>
                <w:p>
                  <w:pPr>
                    <w:pStyle w:val="45"/>
                    <w:bidi/>
                    <w:jc w:val="center"/>
                    <w:rPr>
                      <w:rFonts w:hint="default" w:ascii="Times New Roman" w:hAnsi="Times New Roman" w:cs="Times New Roman"/>
                      <w:b w:val="0"/>
                      <w:bCs/>
                    </w:rPr>
                  </w:pPr>
                  <w:r>
                    <w:rPr>
                      <w:rFonts w:hint="default" w:ascii="Times New Roman" w:hAnsi="Times New Roman" w:cs="Times New Roman"/>
                      <w:b w:val="0"/>
                      <w:bCs/>
                      <w:lang w:val="en-US" w:eastAsia="zh-CN"/>
                    </w:rPr>
                    <w:t>满足环评批复要求</w:t>
                  </w:r>
                </w:p>
              </w:tc>
            </w:tr>
          </w:tbl>
          <w:p>
            <w:pPr>
              <w:numPr>
                <w:ilvl w:val="0"/>
                <w:numId w:val="0"/>
              </w:numPr>
              <w:spacing w:line="360" w:lineRule="auto"/>
              <w:ind w:leftChars="0" w:firstLine="482" w:firstLineChars="200"/>
              <w:rPr>
                <w:rFonts w:hint="default" w:ascii="Times New Roman" w:hAnsi="Times New Roman" w:cs="Times New Roman"/>
                <w:b/>
                <w:bCs/>
                <w:color w:val="000000"/>
                <w:sz w:val="24"/>
                <w:lang w:val="en-US" w:eastAsia="zh-CN"/>
              </w:rPr>
            </w:pPr>
            <w:r>
              <w:rPr>
                <w:rFonts w:hint="eastAsia" w:ascii="Times New Roman" w:hAnsi="Times New Roman" w:cs="Times New Roman"/>
                <w:b/>
                <w:bCs/>
                <w:color w:val="000000"/>
                <w:sz w:val="24"/>
                <w:lang w:val="en-US" w:eastAsia="zh-CN"/>
              </w:rPr>
              <w:t>三、</w:t>
            </w:r>
            <w:r>
              <w:rPr>
                <w:rFonts w:hint="default" w:ascii="Times New Roman" w:hAnsi="Times New Roman" w:cs="Times New Roman"/>
                <w:b/>
                <w:bCs/>
                <w:color w:val="000000"/>
                <w:sz w:val="24"/>
              </w:rPr>
              <w:t>原项目</w:t>
            </w:r>
            <w:r>
              <w:rPr>
                <w:rFonts w:hint="default" w:ascii="Times New Roman" w:hAnsi="Times New Roman" w:cs="Times New Roman"/>
                <w:b/>
                <w:bCs/>
                <w:color w:val="000000"/>
                <w:sz w:val="24"/>
                <w:lang w:val="en-US" w:eastAsia="zh-CN"/>
              </w:rPr>
              <w:t>建设情况</w:t>
            </w:r>
          </w:p>
          <w:p>
            <w:pPr>
              <w:snapToGrid w:val="0"/>
              <w:jc w:val="both"/>
              <w:rPr>
                <w:rFonts w:hint="default" w:ascii="Times New Roman" w:hAnsi="Times New Roman" w:eastAsia="宋体" w:cs="Times New Roman"/>
                <w:spacing w:val="-2"/>
                <w:sz w:val="24"/>
                <w:szCs w:val="24"/>
                <w:lang w:val="en-US" w:eastAsia="zh-CN"/>
              </w:rPr>
            </w:pPr>
            <w:r>
              <w:rPr>
                <w:rFonts w:hint="default" w:ascii="Times New Roman" w:hAnsi="Times New Roman" w:cs="Times New Roman"/>
                <w:spacing w:val="-2"/>
                <w:sz w:val="24"/>
                <w:szCs w:val="24"/>
                <w:lang w:val="en-US" w:eastAsia="zh-CN"/>
              </w:rPr>
              <w:t>①原有项目建设情况</w:t>
            </w:r>
          </w:p>
          <w:p>
            <w:pPr>
              <w:snapToGrid w:val="0"/>
              <w:jc w:val="both"/>
              <w:rPr>
                <w:rFonts w:hint="default" w:ascii="Times New Roman" w:hAnsi="Times New Roman" w:eastAsia="宋体" w:cs="Times New Roman"/>
                <w:color w:val="auto"/>
                <w:lang w:eastAsia="zh-CN"/>
              </w:rPr>
            </w:pPr>
            <w:r>
              <w:rPr>
                <w:rFonts w:hint="default" w:ascii="Times New Roman" w:hAnsi="Times New Roman" w:cs="Times New Roman"/>
                <w:spacing w:val="-2"/>
                <w:sz w:val="24"/>
                <w:szCs w:val="24"/>
              </w:rPr>
              <w:t>租用</w:t>
            </w:r>
            <w:r>
              <w:rPr>
                <w:rFonts w:hint="default" w:ascii="Times New Roman" w:hAnsi="Times New Roman" w:cs="Times New Roman"/>
                <w:spacing w:val="-2"/>
                <w:sz w:val="24"/>
                <w:szCs w:val="24"/>
                <w:lang w:eastAsia="zh-CN"/>
              </w:rPr>
              <w:t>云南鑫成鹏高分子科技有限公司</w:t>
            </w:r>
            <w:r>
              <w:rPr>
                <w:rFonts w:hint="default" w:ascii="Times New Roman" w:hAnsi="Times New Roman" w:cs="Times New Roman"/>
                <w:spacing w:val="-2"/>
                <w:sz w:val="24"/>
                <w:szCs w:val="24"/>
              </w:rPr>
              <w:t>的闲置</w:t>
            </w:r>
            <w:r>
              <w:rPr>
                <w:rFonts w:hint="default" w:ascii="Times New Roman" w:hAnsi="Times New Roman" w:eastAsia="Times New Roman" w:cs="Times New Roman"/>
                <w:spacing w:val="-2"/>
                <w:sz w:val="24"/>
                <w:szCs w:val="24"/>
              </w:rPr>
              <w:t>3</w:t>
            </w:r>
            <w:r>
              <w:rPr>
                <w:rFonts w:hint="default" w:ascii="Times New Roman" w:hAnsi="Times New Roman" w:cs="Times New Roman"/>
                <w:spacing w:val="-1"/>
                <w:sz w:val="24"/>
                <w:szCs w:val="24"/>
              </w:rPr>
              <w:t>号厂房、综合楼（办公室、宿舍）等进行建设，厂房、综合楼均为独立建筑物，</w:t>
            </w:r>
            <w:r>
              <w:rPr>
                <w:rFonts w:hint="default" w:ascii="Times New Roman" w:hAnsi="Times New Roman" w:eastAsia="Times New Roman" w:cs="Times New Roman"/>
                <w:spacing w:val="-3"/>
                <w:sz w:val="24"/>
                <w:szCs w:val="24"/>
              </w:rPr>
              <w:t>1</w:t>
            </w:r>
            <w:r>
              <w:rPr>
                <w:rFonts w:hint="default" w:ascii="Times New Roman" w:hAnsi="Times New Roman" w:cs="Times New Roman"/>
                <w:spacing w:val="-3"/>
                <w:sz w:val="24"/>
                <w:szCs w:val="24"/>
              </w:rPr>
              <w:t>层框架结构，高</w:t>
            </w:r>
            <w:r>
              <w:rPr>
                <w:rFonts w:hint="default" w:ascii="Times New Roman" w:hAnsi="Times New Roman" w:eastAsia="Times New Roman" w:cs="Times New Roman"/>
                <w:spacing w:val="-3"/>
                <w:sz w:val="24"/>
                <w:szCs w:val="24"/>
              </w:rPr>
              <w:t>13</w:t>
            </w:r>
            <w:r>
              <w:rPr>
                <w:rFonts w:hint="default" w:ascii="Times New Roman" w:hAnsi="Times New Roman" w:cs="Times New Roman"/>
                <w:spacing w:val="-3"/>
                <w:sz w:val="24"/>
                <w:szCs w:val="24"/>
              </w:rPr>
              <w:t>米，总占地面积</w:t>
            </w:r>
            <w:r>
              <w:rPr>
                <w:rFonts w:hint="default" w:ascii="Times New Roman" w:hAnsi="Times New Roman" w:eastAsia="Times New Roman" w:cs="Times New Roman"/>
                <w:spacing w:val="-3"/>
                <w:sz w:val="24"/>
                <w:szCs w:val="24"/>
              </w:rPr>
              <w:t>6.15</w:t>
            </w:r>
            <w:r>
              <w:rPr>
                <w:rFonts w:hint="default" w:ascii="Times New Roman" w:hAnsi="Times New Roman" w:cs="Times New Roman"/>
                <w:spacing w:val="-3"/>
                <w:sz w:val="24"/>
                <w:szCs w:val="24"/>
              </w:rPr>
              <w:t>亩，总建筑面积</w:t>
            </w:r>
            <w:r>
              <w:rPr>
                <w:rFonts w:hint="default" w:ascii="Times New Roman" w:hAnsi="Times New Roman" w:eastAsia="Times New Roman" w:cs="Times New Roman"/>
                <w:spacing w:val="-3"/>
                <w:sz w:val="24"/>
                <w:szCs w:val="24"/>
              </w:rPr>
              <w:t>4100</w:t>
            </w:r>
            <w:r>
              <w:rPr>
                <w:rFonts w:hint="default" w:ascii="Times New Roman" w:hAnsi="Times New Roman" w:eastAsia="宋体" w:cs="Times New Roman"/>
                <w:spacing w:val="-3"/>
                <w:sz w:val="24"/>
                <w:szCs w:val="24"/>
                <w:lang w:eastAsia="zh-CN"/>
              </w:rPr>
              <w:t>㎡</w:t>
            </w:r>
            <w:r>
              <w:rPr>
                <w:rFonts w:hint="default" w:ascii="Times New Roman" w:hAnsi="Times New Roman" w:cs="Times New Roman"/>
                <w:spacing w:val="-3"/>
                <w:sz w:val="24"/>
                <w:szCs w:val="24"/>
              </w:rPr>
              <w:t>，共设置</w:t>
            </w:r>
            <w:r>
              <w:rPr>
                <w:rFonts w:hint="default" w:ascii="Times New Roman" w:hAnsi="Times New Roman" w:eastAsia="Times New Roman" w:cs="Times New Roman"/>
                <w:spacing w:val="-3"/>
                <w:sz w:val="24"/>
                <w:szCs w:val="24"/>
              </w:rPr>
              <w:t>1</w:t>
            </w:r>
            <w:r>
              <w:rPr>
                <w:rFonts w:hint="default" w:ascii="Times New Roman" w:hAnsi="Times New Roman" w:cs="Times New Roman"/>
                <w:spacing w:val="-3"/>
                <w:sz w:val="24"/>
                <w:szCs w:val="24"/>
              </w:rPr>
              <w:t>条</w:t>
            </w:r>
            <w:r>
              <w:rPr>
                <w:rFonts w:hint="default" w:ascii="Times New Roman" w:hAnsi="Times New Roman" w:cs="Times New Roman"/>
                <w:spacing w:val="1"/>
                <w:sz w:val="24"/>
                <w:szCs w:val="24"/>
              </w:rPr>
              <w:t>钢化玻璃加工生产线、</w:t>
            </w:r>
            <w:r>
              <w:rPr>
                <w:rFonts w:hint="default" w:ascii="Times New Roman" w:hAnsi="Times New Roman" w:eastAsia="Times New Roman" w:cs="Times New Roman"/>
                <w:spacing w:val="1"/>
                <w:sz w:val="24"/>
                <w:szCs w:val="24"/>
              </w:rPr>
              <w:t>2</w:t>
            </w:r>
            <w:r>
              <w:rPr>
                <w:rFonts w:hint="default" w:ascii="Times New Roman" w:hAnsi="Times New Roman" w:cs="Times New Roman"/>
                <w:spacing w:val="1"/>
                <w:sz w:val="24"/>
                <w:szCs w:val="24"/>
              </w:rPr>
              <w:t>条中空玻璃加工生产线此外，</w:t>
            </w:r>
            <w:r>
              <w:rPr>
                <w:rFonts w:hint="default" w:ascii="Times New Roman" w:hAnsi="Times New Roman" w:cs="Times New Roman"/>
                <w:spacing w:val="1"/>
                <w:sz w:val="24"/>
                <w:szCs w:val="24"/>
                <w:lang w:val="en-US" w:eastAsia="zh-CN"/>
              </w:rPr>
              <w:t>建设了</w:t>
            </w:r>
            <w:r>
              <w:rPr>
                <w:rFonts w:hint="eastAsia" w:cs="Times New Roman"/>
                <w:spacing w:val="1"/>
                <w:sz w:val="24"/>
                <w:szCs w:val="24"/>
                <w:lang w:eastAsia="zh-CN"/>
              </w:rPr>
              <w:t>油水分离器</w:t>
            </w:r>
            <w:r>
              <w:rPr>
                <w:rFonts w:hint="default" w:ascii="Times New Roman" w:hAnsi="Times New Roman" w:cs="Times New Roman"/>
                <w:spacing w:val="1"/>
                <w:sz w:val="24"/>
                <w:szCs w:val="24"/>
              </w:rPr>
              <w:t>、危废暂存间</w:t>
            </w:r>
            <w:r>
              <w:rPr>
                <w:rFonts w:hint="default" w:ascii="Times New Roman" w:hAnsi="Times New Roman" w:cs="Times New Roman"/>
                <w:spacing w:val="-1"/>
                <w:sz w:val="24"/>
                <w:szCs w:val="24"/>
              </w:rPr>
              <w:t>等环保工程</w:t>
            </w:r>
            <w:r>
              <w:rPr>
                <w:rFonts w:hint="default" w:ascii="Times New Roman" w:hAnsi="Times New Roman" w:cs="Times New Roman"/>
                <w:spacing w:val="-1"/>
                <w:sz w:val="24"/>
                <w:szCs w:val="24"/>
                <w:lang w:eastAsia="zh-CN"/>
              </w:rPr>
              <w:t>。</w:t>
            </w:r>
          </w:p>
          <w:p>
            <w:pPr>
              <w:bidi w:val="0"/>
              <w:rPr>
                <w:rFonts w:hint="default" w:ascii="Times New Roman" w:hAnsi="Times New Roman" w:cs="Times New Roman"/>
                <w:color w:val="000000"/>
                <w:sz w:val="24"/>
                <w:szCs w:val="24"/>
                <w:lang w:val="en-US" w:eastAsia="zh-CN"/>
              </w:rPr>
            </w:pPr>
            <w:r>
              <w:rPr>
                <w:rFonts w:hint="default" w:ascii="Times New Roman" w:hAnsi="Times New Roman" w:cs="Times New Roman"/>
                <w:lang w:val="en-US" w:eastAsia="zh-CN"/>
              </w:rPr>
              <w:t>②原有项目</w:t>
            </w:r>
            <w:r>
              <w:rPr>
                <w:rFonts w:hint="default" w:ascii="Times New Roman" w:hAnsi="Times New Roman" w:cs="Times New Roman"/>
                <w:color w:val="000000"/>
                <w:sz w:val="24"/>
                <w:szCs w:val="24"/>
                <w:lang w:val="en-US" w:eastAsia="zh-CN"/>
              </w:rPr>
              <w:t>原辅料</w:t>
            </w:r>
          </w:p>
          <w:p>
            <w:pPr>
              <w:pStyle w:val="36"/>
              <w:bidi w:val="0"/>
              <w:rPr>
                <w:rFonts w:hint="default" w:ascii="Times New Roman" w:hAnsi="Times New Roman" w:cs="Times New Roman"/>
              </w:rPr>
            </w:pPr>
            <w:r>
              <w:rPr>
                <w:rFonts w:hint="default" w:ascii="Times New Roman" w:hAnsi="Times New Roman" w:cs="Times New Roman"/>
              </w:rPr>
              <w:t>表2-</w:t>
            </w:r>
            <w:r>
              <w:rPr>
                <w:rFonts w:hint="eastAsia" w:ascii="Times New Roman" w:hAnsi="Times New Roman" w:cs="Times New Roman"/>
                <w:lang w:val="en-US" w:eastAsia="zh-CN"/>
              </w:rPr>
              <w:t>8</w:t>
            </w:r>
            <w:r>
              <w:rPr>
                <w:rFonts w:hint="default" w:ascii="Times New Roman" w:hAnsi="Times New Roman" w:cs="Times New Roman"/>
              </w:rPr>
              <w:t>主要原辅材料及能源消耗一览表</w:t>
            </w:r>
          </w:p>
          <w:tbl>
            <w:tblPr>
              <w:tblStyle w:val="98"/>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4"/>
              <w:gridCol w:w="1915"/>
              <w:gridCol w:w="1517"/>
              <w:gridCol w:w="1860"/>
              <w:gridCol w:w="18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88"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序号</w:t>
                  </w:r>
                </w:p>
              </w:tc>
              <w:tc>
                <w:tcPr>
                  <w:tcW w:w="1207"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材料名称</w:t>
                  </w:r>
                </w:p>
              </w:tc>
              <w:tc>
                <w:tcPr>
                  <w:tcW w:w="956"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年使用量</w:t>
                  </w:r>
                </w:p>
              </w:tc>
              <w:tc>
                <w:tcPr>
                  <w:tcW w:w="1172"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用途</w:t>
                  </w:r>
                </w:p>
              </w:tc>
              <w:tc>
                <w:tcPr>
                  <w:tcW w:w="1174"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88"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w:t>
                  </w:r>
                </w:p>
              </w:tc>
              <w:tc>
                <w:tcPr>
                  <w:tcW w:w="1207"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普通玻璃</w:t>
                  </w:r>
                </w:p>
              </w:tc>
              <w:tc>
                <w:tcPr>
                  <w:tcW w:w="956" w:type="pct"/>
                  <w:vAlign w:val="center"/>
                </w:tcPr>
                <w:p>
                  <w:pPr>
                    <w:pStyle w:val="45"/>
                    <w:bidi w:val="0"/>
                    <w:jc w:val="center"/>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sz w:val="21"/>
                      <w:szCs w:val="21"/>
                    </w:rPr>
                    <w:t>40.12万</w:t>
                  </w:r>
                  <w:r>
                    <w:rPr>
                      <w:rFonts w:hint="default" w:ascii="Times New Roman" w:hAnsi="Times New Roman" w:cs="Times New Roman"/>
                      <w:b w:val="0"/>
                      <w:bCs/>
                      <w:sz w:val="21"/>
                      <w:szCs w:val="21"/>
                      <w:lang w:eastAsia="zh-CN"/>
                    </w:rPr>
                    <w:t>㎡</w:t>
                  </w:r>
                </w:p>
              </w:tc>
              <w:tc>
                <w:tcPr>
                  <w:tcW w:w="1172"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生产钢化玻璃、中空玻璃</w:t>
                  </w:r>
                </w:p>
              </w:tc>
              <w:tc>
                <w:tcPr>
                  <w:tcW w:w="1174" w:type="pct"/>
                  <w:vMerge w:val="restart"/>
                  <w:tcBorders>
                    <w:bottom w:val="nil"/>
                  </w:tcBorders>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88"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w:t>
                  </w:r>
                </w:p>
              </w:tc>
              <w:tc>
                <w:tcPr>
                  <w:tcW w:w="1207"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JS8000建筑用双组份硅酮结构密封胶</w:t>
                  </w:r>
                </w:p>
              </w:tc>
              <w:tc>
                <w:tcPr>
                  <w:tcW w:w="956"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14t</w:t>
                  </w:r>
                </w:p>
              </w:tc>
              <w:tc>
                <w:tcPr>
                  <w:tcW w:w="1172" w:type="pct"/>
                  <w:vMerge w:val="restart"/>
                  <w:tcBorders>
                    <w:bottom w:val="nil"/>
                  </w:tcBorders>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生产中空玻璃</w:t>
                  </w:r>
                </w:p>
              </w:tc>
              <w:tc>
                <w:tcPr>
                  <w:tcW w:w="1174" w:type="pct"/>
                  <w:vMerge w:val="continue"/>
                  <w:tcBorders>
                    <w:top w:val="nil"/>
                    <w:bottom w:val="nil"/>
                  </w:tcBorders>
                  <w:vAlign w:val="center"/>
                </w:tcPr>
                <w:p>
                  <w:pPr>
                    <w:pStyle w:val="45"/>
                    <w:bidi w:val="0"/>
                    <w:jc w:val="center"/>
                    <w:rPr>
                      <w:rFonts w:hint="default" w:ascii="Times New Roman" w:hAnsi="Times New Roman" w:cs="Times New Roman"/>
                      <w:b w:val="0"/>
                      <w:bCs/>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88"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3</w:t>
                  </w:r>
                </w:p>
              </w:tc>
              <w:tc>
                <w:tcPr>
                  <w:tcW w:w="1207"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丁基胶</w:t>
                  </w:r>
                </w:p>
              </w:tc>
              <w:tc>
                <w:tcPr>
                  <w:tcW w:w="956"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7.5t</w:t>
                  </w:r>
                </w:p>
              </w:tc>
              <w:tc>
                <w:tcPr>
                  <w:tcW w:w="1172" w:type="pct"/>
                  <w:vMerge w:val="continue"/>
                  <w:tcBorders>
                    <w:top w:val="nil"/>
                    <w:bottom w:val="nil"/>
                  </w:tcBorders>
                  <w:vAlign w:val="center"/>
                </w:tcPr>
                <w:p>
                  <w:pPr>
                    <w:pStyle w:val="45"/>
                    <w:bidi w:val="0"/>
                    <w:jc w:val="center"/>
                    <w:rPr>
                      <w:rFonts w:hint="default" w:ascii="Times New Roman" w:hAnsi="Times New Roman" w:cs="Times New Roman"/>
                      <w:b w:val="0"/>
                      <w:bCs/>
                      <w:sz w:val="21"/>
                      <w:szCs w:val="21"/>
                    </w:rPr>
                  </w:pPr>
                </w:p>
              </w:tc>
              <w:tc>
                <w:tcPr>
                  <w:tcW w:w="1174" w:type="pct"/>
                  <w:vMerge w:val="continue"/>
                  <w:tcBorders>
                    <w:top w:val="nil"/>
                    <w:bottom w:val="nil"/>
                  </w:tcBorders>
                  <w:vAlign w:val="center"/>
                </w:tcPr>
                <w:p>
                  <w:pPr>
                    <w:pStyle w:val="45"/>
                    <w:bidi w:val="0"/>
                    <w:jc w:val="center"/>
                    <w:rPr>
                      <w:rFonts w:hint="default" w:ascii="Times New Roman" w:hAnsi="Times New Roman" w:cs="Times New Roman"/>
                      <w:b w:val="0"/>
                      <w:bCs/>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88"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4</w:t>
                  </w:r>
                </w:p>
              </w:tc>
              <w:tc>
                <w:tcPr>
                  <w:tcW w:w="1207"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分子筛、分子筛架</w:t>
                  </w:r>
                </w:p>
              </w:tc>
              <w:tc>
                <w:tcPr>
                  <w:tcW w:w="956"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100t</w:t>
                  </w:r>
                </w:p>
              </w:tc>
              <w:tc>
                <w:tcPr>
                  <w:tcW w:w="1172" w:type="pct"/>
                  <w:vMerge w:val="continue"/>
                  <w:tcBorders>
                    <w:top w:val="nil"/>
                  </w:tcBorders>
                  <w:vAlign w:val="center"/>
                </w:tcPr>
                <w:p>
                  <w:pPr>
                    <w:pStyle w:val="45"/>
                    <w:bidi w:val="0"/>
                    <w:jc w:val="center"/>
                    <w:rPr>
                      <w:rFonts w:hint="default" w:ascii="Times New Roman" w:hAnsi="Times New Roman" w:cs="Times New Roman"/>
                      <w:b w:val="0"/>
                      <w:bCs/>
                      <w:sz w:val="21"/>
                      <w:szCs w:val="21"/>
                    </w:rPr>
                  </w:pPr>
                </w:p>
              </w:tc>
              <w:tc>
                <w:tcPr>
                  <w:tcW w:w="1174" w:type="pct"/>
                  <w:vMerge w:val="continue"/>
                  <w:tcBorders>
                    <w:top w:val="nil"/>
                    <w:bottom w:val="nil"/>
                  </w:tcBorders>
                  <w:vAlign w:val="center"/>
                </w:tcPr>
                <w:p>
                  <w:pPr>
                    <w:pStyle w:val="45"/>
                    <w:bidi w:val="0"/>
                    <w:jc w:val="center"/>
                    <w:rPr>
                      <w:rFonts w:hint="default" w:ascii="Times New Roman" w:hAnsi="Times New Roman" w:cs="Times New Roman"/>
                      <w:b w:val="0"/>
                      <w:bCs/>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88"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5</w:t>
                  </w:r>
                </w:p>
              </w:tc>
              <w:tc>
                <w:tcPr>
                  <w:tcW w:w="1207"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标签</w:t>
                  </w:r>
                </w:p>
              </w:tc>
              <w:tc>
                <w:tcPr>
                  <w:tcW w:w="956"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6万张</w:t>
                  </w:r>
                </w:p>
              </w:tc>
              <w:tc>
                <w:tcPr>
                  <w:tcW w:w="1172"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w:t>
                  </w:r>
                </w:p>
              </w:tc>
              <w:tc>
                <w:tcPr>
                  <w:tcW w:w="1174" w:type="pct"/>
                  <w:vMerge w:val="continue"/>
                  <w:tcBorders>
                    <w:top w:val="nil"/>
                    <w:bottom w:val="nil"/>
                  </w:tcBorders>
                  <w:vAlign w:val="center"/>
                </w:tcPr>
                <w:p>
                  <w:pPr>
                    <w:pStyle w:val="45"/>
                    <w:bidi w:val="0"/>
                    <w:jc w:val="center"/>
                    <w:rPr>
                      <w:rFonts w:hint="default" w:ascii="Times New Roman" w:hAnsi="Times New Roman" w:cs="Times New Roman"/>
                      <w:b w:val="0"/>
                      <w:bCs/>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88"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6</w:t>
                  </w:r>
                </w:p>
              </w:tc>
              <w:tc>
                <w:tcPr>
                  <w:tcW w:w="1207"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铝间隔条</w:t>
                  </w:r>
                </w:p>
              </w:tc>
              <w:tc>
                <w:tcPr>
                  <w:tcW w:w="956"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10t</w:t>
                  </w:r>
                </w:p>
              </w:tc>
              <w:tc>
                <w:tcPr>
                  <w:tcW w:w="1172" w:type="pct"/>
                  <w:vAlign w:val="center"/>
                </w:tcPr>
                <w:p>
                  <w:pPr>
                    <w:pStyle w:val="45"/>
                    <w:bidi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生产中空玻璃</w:t>
                  </w:r>
                </w:p>
              </w:tc>
              <w:tc>
                <w:tcPr>
                  <w:tcW w:w="1174" w:type="pct"/>
                  <w:vMerge w:val="continue"/>
                  <w:tcBorders>
                    <w:top w:val="nil"/>
                  </w:tcBorders>
                  <w:vAlign w:val="center"/>
                </w:tcPr>
                <w:p>
                  <w:pPr>
                    <w:pStyle w:val="45"/>
                    <w:bidi w:val="0"/>
                    <w:jc w:val="center"/>
                    <w:rPr>
                      <w:rFonts w:hint="default" w:ascii="Times New Roman" w:hAnsi="Times New Roman" w:cs="Times New Roman"/>
                      <w:b w:val="0"/>
                      <w:bCs/>
                      <w:sz w:val="21"/>
                      <w:szCs w:val="21"/>
                    </w:rPr>
                  </w:pPr>
                </w:p>
              </w:tc>
            </w:tr>
          </w:tbl>
          <w:p>
            <w:pPr>
              <w:pStyle w:val="14"/>
              <w:numPr>
                <w:ilvl w:val="0"/>
                <w:numId w:val="0"/>
              </w:numPr>
              <w:spacing w:before="157" w:beforeLines="50" w:line="360" w:lineRule="auto"/>
              <w:ind w:firstLine="480" w:firstLineChars="200"/>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③原有项目定员及工作制度</w:t>
            </w:r>
          </w:p>
          <w:p>
            <w:pPr>
              <w:pStyle w:val="14"/>
              <w:numPr>
                <w:ilvl w:val="0"/>
                <w:numId w:val="0"/>
              </w:num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原有项目劳动定员30人，年工作300天，每天8h</w:t>
            </w:r>
            <w:r>
              <w:rPr>
                <w:rFonts w:hint="eastAsia" w:ascii="Times New Roman" w:hAnsi="Times New Roman" w:cs="Times New Roman"/>
                <w:color w:val="000000"/>
                <w:sz w:val="24"/>
                <w:szCs w:val="24"/>
                <w:lang w:val="en-US" w:eastAsia="zh-CN"/>
              </w:rPr>
              <w:t>，夜间不生产</w:t>
            </w:r>
            <w:r>
              <w:rPr>
                <w:rFonts w:hint="default" w:ascii="Times New Roman" w:hAnsi="Times New Roman" w:eastAsia="宋体" w:cs="Times New Roman"/>
                <w:color w:val="000000"/>
                <w:sz w:val="24"/>
                <w:szCs w:val="24"/>
                <w:lang w:val="en-US" w:eastAsia="zh-CN"/>
              </w:rPr>
              <w:t>。</w:t>
            </w:r>
          </w:p>
          <w:p>
            <w:pPr>
              <w:pStyle w:val="14"/>
              <w:numPr>
                <w:ilvl w:val="0"/>
                <w:numId w:val="0"/>
              </w:numPr>
              <w:spacing w:before="157" w:beforeLines="50"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④原有项目工艺</w:t>
            </w:r>
          </w:p>
          <w:p>
            <w:pPr>
              <w:bidi w:val="0"/>
              <w:rPr>
                <w:rFonts w:hint="default" w:ascii="Times New Roman" w:hAnsi="Times New Roman" w:cs="Times New Roman"/>
              </w:rPr>
            </w:pPr>
            <w:r>
              <w:rPr>
                <w:rFonts w:hint="default" w:ascii="Times New Roman" w:hAnsi="Times New Roman" w:cs="Times New Roman"/>
              </w:rPr>
              <w:t>本项目建设内容主要新建1条钢化玻璃加工生产线、2条中空玻璃加工生产线，项目生产规模为年加工25万</w:t>
            </w:r>
            <w:r>
              <w:rPr>
                <w:rFonts w:hint="default" w:ascii="Times New Roman" w:hAnsi="Times New Roman" w:cs="Times New Roman"/>
                <w:lang w:eastAsia="zh-CN"/>
              </w:rPr>
              <w:t>㎡</w:t>
            </w:r>
            <w:r>
              <w:rPr>
                <w:rFonts w:hint="default" w:ascii="Times New Roman" w:hAnsi="Times New Roman" w:cs="Times New Roman"/>
              </w:rPr>
              <w:t>门窗玻璃（其中中空玻璃15万</w:t>
            </w:r>
            <w:r>
              <w:rPr>
                <w:rFonts w:hint="default" w:ascii="Times New Roman" w:hAnsi="Times New Roman" w:cs="Times New Roman"/>
                <w:lang w:eastAsia="zh-CN"/>
              </w:rPr>
              <w:t>㎡</w:t>
            </w:r>
            <w:r>
              <w:rPr>
                <w:rFonts w:hint="default" w:ascii="Times New Roman" w:hAnsi="Times New Roman" w:cs="Times New Roman"/>
              </w:rPr>
              <w:t>，钢化玻璃10万</w:t>
            </w:r>
            <w:r>
              <w:rPr>
                <w:rFonts w:hint="default" w:ascii="Times New Roman" w:hAnsi="Times New Roman" w:cs="Times New Roman"/>
                <w:lang w:eastAsia="zh-CN"/>
              </w:rPr>
              <w:t>㎡</w:t>
            </w:r>
            <w:r>
              <w:rPr>
                <w:rFonts w:hint="default" w:ascii="Times New Roman" w:hAnsi="Times New Roman" w:cs="Times New Roman"/>
              </w:rPr>
              <w:t>）。具体生产工艺及产污节点见下图。</w:t>
            </w:r>
          </w:p>
          <w:p>
            <w:pPr>
              <w:bidi w:val="0"/>
              <w:rPr>
                <w:rFonts w:hint="default" w:ascii="Times New Roman" w:hAnsi="Times New Roman" w:cs="Times New Roman"/>
              </w:rPr>
            </w:pPr>
            <w:r>
              <w:rPr>
                <w:rFonts w:hint="default" w:ascii="Times New Roman" w:hAnsi="Times New Roman" w:cs="Times New Roman"/>
              </w:rPr>
              <w:t>1、钢化玻璃生产工艺流程</w:t>
            </w:r>
          </w:p>
          <w:p>
            <w:pPr>
              <w:bidi w:val="0"/>
              <w:rPr>
                <w:rFonts w:hint="default" w:ascii="Times New Roman" w:hAnsi="Times New Roman" w:cs="Times New Roman"/>
              </w:rPr>
            </w:pPr>
            <w:r>
              <w:rPr>
                <w:rFonts w:hint="default" w:ascii="Times New Roman" w:hAnsi="Times New Roman" w:cs="Times New Roman"/>
              </w:rPr>
              <w:t>①切片：将玻璃原片通过切片机切割成客户所需的产品规格、玻璃是一种典型的脆性材料，玻璃切割并不是通常意义上的直接切割，而是制造划痕，造成应力集中，然后裂片，该过程不产生粉尘。</w:t>
            </w:r>
          </w:p>
          <w:p>
            <w:pPr>
              <w:bidi w:val="0"/>
              <w:rPr>
                <w:rFonts w:hint="default" w:ascii="Times New Roman" w:hAnsi="Times New Roman" w:cs="Times New Roman"/>
              </w:rPr>
            </w:pPr>
            <w:r>
              <w:rPr>
                <w:rFonts w:hint="default" w:ascii="Times New Roman" w:hAnsi="Times New Roman" w:cs="Times New Roman"/>
              </w:rPr>
              <w:t>该过程主要污染物为噪声及少量玻璃边角料。（噪声通过安装减震软垫进行减噪。玻璃边角料存放于一般固废暂存间，定期外售。）</w:t>
            </w:r>
          </w:p>
          <w:p>
            <w:pPr>
              <w:bidi w:val="0"/>
              <w:rPr>
                <w:rFonts w:hint="default" w:ascii="Times New Roman" w:hAnsi="Times New Roman" w:cs="Times New Roman"/>
              </w:rPr>
            </w:pPr>
            <w:r>
              <w:rPr>
                <w:rFonts w:hint="default" w:ascii="Times New Roman" w:hAnsi="Times New Roman" w:cs="Times New Roman"/>
              </w:rPr>
              <w:t>②磨边：将切割好的玻璃在磨边机上把锋利的边角打磨平滑，为了避免玻璃粉尘的产生，项目磨边采用水磨边法进行，即在磨边机磨边的同时，在砂轮与玻璃接触的部位冲水，废水进入沉淀槽静置沉淀后进入循环水池后</w:t>
            </w:r>
            <w:r>
              <w:rPr>
                <w:rFonts w:hint="default" w:ascii="Times New Roman" w:hAnsi="Times New Roman" w:cs="Times New Roman"/>
                <w:lang w:eastAsia="zh-CN"/>
              </w:rPr>
              <w:t>清洗水</w:t>
            </w:r>
            <w:r>
              <w:rPr>
                <w:rFonts w:hint="default" w:ascii="Times New Roman" w:hAnsi="Times New Roman" w:cs="Times New Roman"/>
              </w:rPr>
              <w:t>继续返回循环使用，下层玻璃粉末结块后捞出作为固废处置。</w:t>
            </w:r>
          </w:p>
          <w:p>
            <w:pPr>
              <w:bidi w:val="0"/>
              <w:rPr>
                <w:rFonts w:hint="default" w:ascii="Times New Roman" w:hAnsi="Times New Roman" w:cs="Times New Roman"/>
              </w:rPr>
            </w:pPr>
            <w:r>
              <w:rPr>
                <w:rFonts w:hint="default" w:ascii="Times New Roman" w:hAnsi="Times New Roman" w:cs="Times New Roman"/>
              </w:rPr>
              <w:t>该过程主要污染物为噪声、磨边废水和玻璃粉末。（噪声通过安装减震软垫进行减噪。玻璃粉末定期打捞后通过高密度聚乙烯桶收集后存放于一般固废暂存间内，定期外售。磨边废水经过沉淀槽静置沉淀后循环使用）</w:t>
            </w:r>
          </w:p>
          <w:p>
            <w:pPr>
              <w:bidi w:val="0"/>
              <w:rPr>
                <w:rFonts w:hint="default" w:ascii="Times New Roman" w:hAnsi="Times New Roman" w:cs="Times New Roman"/>
              </w:rPr>
            </w:pPr>
            <w:r>
              <w:rPr>
                <w:rFonts w:hint="default" w:ascii="Times New Roman" w:hAnsi="Times New Roman" w:cs="Times New Roman"/>
              </w:rPr>
              <w:t>③打孔：根据客户对产品的需求，少部分玻璃磨边后需要进行打孔。</w:t>
            </w:r>
          </w:p>
          <w:p>
            <w:pPr>
              <w:bidi w:val="0"/>
              <w:rPr>
                <w:rFonts w:hint="default" w:ascii="Times New Roman" w:hAnsi="Times New Roman" w:cs="Times New Roman"/>
              </w:rPr>
            </w:pPr>
            <w:r>
              <w:rPr>
                <w:rFonts w:hint="default" w:ascii="Times New Roman" w:hAnsi="Times New Roman" w:cs="Times New Roman"/>
              </w:rPr>
              <w:t>该过程主要污染物为噪声、少量玻璃边角料以及少量粉尘。（本项目粉尘在有车间厂房阻拦的情况下自由沉降于机器周围后，人工定期清扫，呈无组织排放。</w:t>
            </w:r>
          </w:p>
          <w:p>
            <w:pPr>
              <w:bidi w:val="0"/>
              <w:rPr>
                <w:rFonts w:hint="default" w:ascii="Times New Roman" w:hAnsi="Times New Roman" w:cs="Times New Roman"/>
              </w:rPr>
            </w:pPr>
            <w:r>
              <w:rPr>
                <w:rFonts w:hint="default" w:ascii="Times New Roman" w:hAnsi="Times New Roman" w:cs="Times New Roman"/>
              </w:rPr>
              <w:t>玻璃边角料存放于固废暂存间，定期外售。噪声通过安装减震软垫进行减噪。）</w:t>
            </w:r>
          </w:p>
          <w:p>
            <w:pPr>
              <w:bidi w:val="0"/>
              <w:rPr>
                <w:rFonts w:hint="default" w:ascii="Times New Roman" w:hAnsi="Times New Roman" w:cs="Times New Roman"/>
              </w:rPr>
            </w:pPr>
            <w:r>
              <w:rPr>
                <w:rFonts w:hint="default" w:ascii="Times New Roman" w:hAnsi="Times New Roman" w:cs="Times New Roman"/>
              </w:rPr>
              <w:t>④清洗（不使用任何清洗剂）：经过切片、磨边、打孔后的玻璃通过清洗，清洗掉玻璃表面灰尘等杂质，在清洗水中不需加洗涤剂，且毛刷脏了以后直接用水清洗，清洗水通过沉淀槽沉淀后循环利用。</w:t>
            </w:r>
          </w:p>
          <w:p>
            <w:pPr>
              <w:bidi w:val="0"/>
              <w:rPr>
                <w:rFonts w:hint="default" w:ascii="Times New Roman" w:hAnsi="Times New Roman" w:cs="Times New Roman"/>
              </w:rPr>
            </w:pPr>
            <w:r>
              <w:rPr>
                <w:rFonts w:hint="default" w:ascii="Times New Roman" w:hAnsi="Times New Roman" w:cs="Times New Roman"/>
              </w:rPr>
              <w:t>该过程主要污染物为清洗废水。（本项目产生的清洗废水主要含量为SS，清洗废水进入沉淀槽静置沉淀后进入循环水池后</w:t>
            </w:r>
            <w:r>
              <w:rPr>
                <w:rFonts w:hint="default" w:ascii="Times New Roman" w:hAnsi="Times New Roman" w:cs="Times New Roman"/>
                <w:lang w:eastAsia="zh-CN"/>
              </w:rPr>
              <w:t>清洗水</w:t>
            </w:r>
            <w:r>
              <w:rPr>
                <w:rFonts w:hint="default" w:ascii="Times New Roman" w:hAnsi="Times New Roman" w:cs="Times New Roman"/>
              </w:rPr>
              <w:t>继续返回循环使用。）</w:t>
            </w:r>
          </w:p>
          <w:p>
            <w:pPr>
              <w:bidi w:val="0"/>
              <w:rPr>
                <w:rFonts w:hint="default" w:ascii="Times New Roman" w:hAnsi="Times New Roman" w:cs="Times New Roman"/>
              </w:rPr>
            </w:pPr>
            <w:r>
              <w:rPr>
                <w:rFonts w:hint="default" w:ascii="Times New Roman" w:hAnsi="Times New Roman" w:cs="Times New Roman"/>
              </w:rPr>
              <w:t>⑤吹干：经过清洗的玻璃通过玻璃清洗机内置风机吹干。</w:t>
            </w:r>
          </w:p>
          <w:p>
            <w:pPr>
              <w:bidi w:val="0"/>
              <w:rPr>
                <w:rFonts w:hint="default" w:ascii="Times New Roman" w:hAnsi="Times New Roman" w:cs="Times New Roman"/>
              </w:rPr>
            </w:pPr>
            <w:r>
              <w:rPr>
                <w:rFonts w:hint="default" w:ascii="Times New Roman" w:hAnsi="Times New Roman" w:cs="Times New Roman"/>
              </w:rPr>
              <w:t>该过程主要会产生噪声。（本项目产生的噪声通过安装减震软垫进行减噪）⑥钢化：玻璃通过钢化炉采用电加热到接近玻璃的软化温度(600℃)时，通过自身的形变消除内部应力，然后将玻璃移出加热炉。</w:t>
            </w:r>
          </w:p>
          <w:p>
            <w:pPr>
              <w:bidi w:val="0"/>
              <w:rPr>
                <w:rFonts w:hint="default" w:ascii="Times New Roman" w:hAnsi="Times New Roman" w:cs="Times New Roman"/>
              </w:rPr>
            </w:pPr>
            <w:r>
              <w:rPr>
                <w:rFonts w:hint="default" w:ascii="Times New Roman" w:hAnsi="Times New Roman" w:cs="Times New Roman"/>
              </w:rPr>
              <w:t>该过程主要会产生噪声。（本项目产生的噪声通过安装减震软垫进行减噪）</w:t>
            </w:r>
          </w:p>
          <w:p>
            <w:pPr>
              <w:bidi w:val="0"/>
              <w:rPr>
                <w:rFonts w:hint="default" w:ascii="Times New Roman" w:hAnsi="Times New Roman" w:cs="Times New Roman"/>
              </w:rPr>
            </w:pPr>
            <w:r>
              <w:rPr>
                <w:rFonts w:hint="default" w:ascii="Times New Roman" w:hAnsi="Times New Roman" w:cs="Times New Roman"/>
              </w:rPr>
              <w:t>⑦冷却：经过钢化的玻璃通过多头喷嘴将高压冷空气吹向玻璃的两面，使其迅速且均匀地冷却至室温，得到钢化玻璃。</w:t>
            </w:r>
          </w:p>
          <w:p>
            <w:pPr>
              <w:bidi w:val="0"/>
              <w:rPr>
                <w:rFonts w:hint="default" w:ascii="Times New Roman" w:hAnsi="Times New Roman" w:cs="Times New Roman"/>
              </w:rPr>
            </w:pPr>
            <w:r>
              <w:rPr>
                <w:rFonts w:hint="default" w:ascii="Times New Roman" w:hAnsi="Times New Roman" w:cs="Times New Roman"/>
              </w:rPr>
              <w:t>该过程主要会产生噪声。（本项目产生的噪声通过安装减震软垫进行减噪）</w:t>
            </w:r>
          </w:p>
          <w:p>
            <w:pPr>
              <w:bidi w:val="0"/>
              <w:rPr>
                <w:rFonts w:hint="default" w:ascii="Times New Roman" w:hAnsi="Times New Roman" w:cs="Times New Roman"/>
              </w:rPr>
            </w:pPr>
            <w:r>
              <w:rPr>
                <w:rFonts w:hint="default" w:ascii="Times New Roman" w:hAnsi="Times New Roman" w:cs="Times New Roman"/>
              </w:rPr>
              <w:t>⑧检验、覆膜、上架成品：钢化玻璃通过检验后满足产品要求后需要在表面用覆膜机进行覆盖一层塑料薄膜，以避免在运输过程中刮花玻璃，最后上架成品。</w:t>
            </w:r>
          </w:p>
          <w:p>
            <w:pPr>
              <w:bidi w:val="0"/>
              <w:rPr>
                <w:rFonts w:hint="default" w:ascii="Times New Roman" w:hAnsi="Times New Roman" w:cs="Times New Roman"/>
              </w:rPr>
            </w:pPr>
            <w:r>
              <w:rPr>
                <w:rFonts w:hint="default" w:ascii="Times New Roman" w:hAnsi="Times New Roman" w:cs="Times New Roman"/>
              </w:rPr>
              <w:t>次品玻璃作为废玻璃存放于一般固废暂存间委托环卫部门回收。</w:t>
            </w:r>
          </w:p>
          <w:p>
            <w:pPr>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钢化玻璃生产工艺流程图如下：</w:t>
            </w:r>
          </w:p>
          <w:p>
            <w:pPr>
              <w:keepNext w:val="0"/>
              <w:keepLines w:val="0"/>
              <w:pageBreakBefore w:val="0"/>
              <w:kinsoku/>
              <w:wordWrap/>
              <w:overflowPunct/>
              <w:topLinePunct w:val="0"/>
              <w:bidi w:val="0"/>
              <w:spacing w:line="360" w:lineRule="auto"/>
              <w:rPr>
                <w:rFonts w:hint="default" w:ascii="Times New Roman" w:hAnsi="Times New Roman" w:eastAsia="宋体" w:cs="Times New Roman"/>
                <w:bCs/>
                <w:sz w:val="24"/>
                <w:szCs w:val="24"/>
              </w:rPr>
            </w:pPr>
            <w:r>
              <w:rPr>
                <w:rFonts w:hint="default" w:ascii="Times New Roman" w:hAnsi="Times New Roman" w:eastAsia="宋体" w:cs="Times New Roman"/>
                <w:b/>
                <w:bCs/>
                <w:color w:val="auto"/>
                <w:lang w:val="en-US" w:eastAsia="zh-CN"/>
              </w:rPr>
              <w:t>1钢化玻璃</w:t>
            </w:r>
            <w:r>
              <w:rPr>
                <w:rFonts w:hint="default" w:ascii="Times New Roman" w:hAnsi="Times New Roman" w:eastAsia="宋体" w:cs="Times New Roman"/>
                <w:b/>
                <w:bCs/>
                <w:color w:val="auto"/>
                <w:lang w:val="en-US"/>
              </w:rPr>
              <w:t>具体生产工艺见下图</w:t>
            </w:r>
            <w:r>
              <w:rPr>
                <w:rFonts w:hint="default" w:ascii="Times New Roman" w:hAnsi="Times New Roman" w:eastAsia="宋体" w:cs="Times New Roman"/>
                <w:b/>
                <w:bCs/>
                <w:color w:val="auto"/>
                <w:lang w:val="en-US" w:eastAsia="zh-CN"/>
              </w:rPr>
              <w:t>。</w:t>
            </w:r>
          </w:p>
          <w:p>
            <w:pPr>
              <w:autoSpaceDE w:val="0"/>
              <w:autoSpaceDN w:val="0"/>
              <w:adjustRightInd w:val="0"/>
              <w:snapToGrid w:val="0"/>
              <w:spacing w:line="360" w:lineRule="auto"/>
              <w:ind w:left="0" w:leftChars="0" w:firstLine="0" w:firstLineChars="0"/>
              <w:jc w:val="center"/>
              <w:rPr>
                <w:rFonts w:hint="default" w:ascii="Times New Roman" w:hAnsi="Times New Roman" w:eastAsia="宋体" w:cs="Times New Roman"/>
                <w:b/>
                <w:bCs/>
                <w:sz w:val="24"/>
                <w:szCs w:val="24"/>
              </w:rPr>
            </w:pPr>
            <w:r>
              <w:rPr>
                <w:rFonts w:hint="default" w:ascii="Times New Roman" w:hAnsi="Times New Roman" w:eastAsia="宋体" w:cs="Times New Roman"/>
              </w:rPr>
              <w:object>
                <v:shape id="_x0000_i1028" o:spt="75" type="#_x0000_t75" style="height:501.8pt;width:377.2pt;" o:ole="t" filled="f" o:preferrelative="t" stroked="f" coordsize="21600,21600">
                  <v:path/>
                  <v:fill on="f" focussize="0,0"/>
                  <v:stroke on="f"/>
                  <v:imagedata r:id="rId19" o:title=""/>
                  <o:lock v:ext="edit" aspectratio="t"/>
                  <w10:wrap type="none"/>
                  <w10:anchorlock/>
                </v:shape>
                <o:OLEObject Type="Embed" ProgID="Visio.Drawing.11" ShapeID="_x0000_i1028" DrawAspect="Content" ObjectID="_1468075728" r:id="rId18">
                  <o:LockedField>false</o:LockedField>
                </o:OLEObject>
              </w:object>
            </w:r>
          </w:p>
          <w:p>
            <w:pPr>
              <w:pStyle w:val="36"/>
              <w:keepNext w:val="0"/>
              <w:keepLines w:val="0"/>
              <w:pageBreakBefore w:val="0"/>
              <w:kinsoku/>
              <w:wordWrap/>
              <w:overflowPunct/>
              <w:topLinePunct w:val="0"/>
              <w:bidi w:val="0"/>
              <w:spacing w:before="0" w:after="0"/>
              <w:outlineLvl w:val="9"/>
              <w:rPr>
                <w:rFonts w:hint="default" w:ascii="Times New Roman" w:hAnsi="Times New Roman" w:eastAsia="宋体" w:cs="Times New Roman"/>
              </w:rPr>
            </w:pPr>
            <w:r>
              <w:rPr>
                <w:rFonts w:hint="default" w:ascii="Times New Roman" w:hAnsi="Times New Roman" w:eastAsia="宋体" w:cs="Times New Roman"/>
              </w:rPr>
              <w:t>图</w:t>
            </w:r>
            <w:r>
              <w:rPr>
                <w:rFonts w:hint="default" w:ascii="Times New Roman" w:hAnsi="Times New Roman" w:eastAsia="宋体" w:cs="Times New Roman"/>
                <w:lang w:val="en-US" w:eastAsia="zh-CN"/>
              </w:rPr>
              <w:t>2-4</w:t>
            </w:r>
            <w:r>
              <w:rPr>
                <w:rFonts w:hint="default" w:ascii="Times New Roman" w:hAnsi="Times New Roman" w:eastAsia="宋体" w:cs="Times New Roman"/>
              </w:rPr>
              <w:t>钢化玻璃生产工艺流程图</w:t>
            </w:r>
          </w:p>
          <w:p>
            <w:pPr>
              <w:keepNext w:val="0"/>
              <w:keepLines w:val="0"/>
              <w:pageBreakBefore w:val="0"/>
              <w:numPr>
                <w:ilvl w:val="0"/>
                <w:numId w:val="0"/>
              </w:numPr>
              <w:kinsoku/>
              <w:wordWrap/>
              <w:overflowPunct/>
              <w:topLinePunct w:val="0"/>
              <w:bidi w:val="0"/>
              <w:spacing w:line="360" w:lineRule="auto"/>
              <w:rPr>
                <w:rFonts w:hint="default" w:ascii="Times New Roman" w:hAnsi="Times New Roman" w:eastAsia="宋体" w:cs="Times New Roman"/>
                <w:b/>
                <w:bCs/>
                <w:lang w:val="en-US"/>
              </w:rPr>
            </w:pPr>
            <w:r>
              <w:rPr>
                <w:rFonts w:hint="default" w:ascii="Times New Roman" w:hAnsi="Times New Roman" w:eastAsia="宋体" w:cs="Times New Roman"/>
                <w:b/>
                <w:bCs/>
                <w:lang w:val="en-US" w:eastAsia="zh-CN"/>
              </w:rPr>
              <w:t>2、中空玻璃</w:t>
            </w:r>
            <w:r>
              <w:rPr>
                <w:rFonts w:hint="default" w:ascii="Times New Roman" w:hAnsi="Times New Roman" w:eastAsia="宋体" w:cs="Times New Roman"/>
                <w:b/>
                <w:bCs/>
                <w:lang w:val="en-US"/>
              </w:rPr>
              <w:t>具体生产工艺见下图</w:t>
            </w:r>
            <w:r>
              <w:rPr>
                <w:rFonts w:hint="default" w:ascii="Times New Roman" w:hAnsi="Times New Roman" w:eastAsia="宋体" w:cs="Times New Roman"/>
                <w:b/>
                <w:bCs/>
                <w:lang w:val="en-US" w:eastAsia="zh-CN"/>
              </w:rPr>
              <w:t>。</w:t>
            </w:r>
          </w:p>
          <w:p>
            <w:pPr>
              <w:keepNext w:val="0"/>
              <w:keepLines w:val="0"/>
              <w:pageBreakBefore w:val="0"/>
              <w:kinsoku/>
              <w:wordWrap/>
              <w:overflowPunct/>
              <w:topLinePunct w:val="0"/>
              <w:bidi w:val="0"/>
              <w:ind w:left="0" w:leftChars="0" w:firstLine="0" w:firstLineChars="0"/>
              <w:jc w:val="center"/>
              <w:rPr>
                <w:rFonts w:hint="default" w:ascii="Times New Roman" w:hAnsi="Times New Roman" w:eastAsia="宋体" w:cs="Times New Roman"/>
                <w:lang w:val="en-US"/>
              </w:rPr>
            </w:pPr>
            <w:r>
              <w:rPr>
                <w:rFonts w:hint="default" w:ascii="Times New Roman" w:hAnsi="Times New Roman" w:eastAsia="宋体" w:cs="Times New Roman"/>
              </w:rPr>
              <w:object>
                <v:shape id="_x0000_i1029" o:spt="75" type="#_x0000_t75" style="height:356.6pt;width:292.5pt;" o:ole="t" filled="f" o:preferrelative="t" stroked="f" coordsize="21600,21600">
                  <v:path/>
                  <v:fill on="f" focussize="0,0"/>
                  <v:stroke on="f"/>
                  <v:imagedata r:id="rId21" o:title=""/>
                  <o:lock v:ext="edit" aspectratio="t"/>
                  <w10:wrap type="none"/>
                  <w10:anchorlock/>
                </v:shape>
                <o:OLEObject Type="Embed" ProgID="Visio.Drawing.11" ShapeID="_x0000_i1029" DrawAspect="Content" ObjectID="_1468075729" r:id="rId20">
                  <o:LockedField>false</o:LockedField>
                </o:OLEObject>
              </w:object>
            </w:r>
          </w:p>
          <w:p>
            <w:pPr>
              <w:pStyle w:val="38"/>
              <w:keepNext w:val="0"/>
              <w:keepLines w:val="0"/>
              <w:pageBreakBefore w:val="0"/>
              <w:kinsoku/>
              <w:wordWrap/>
              <w:overflowPunct/>
              <w:topLinePunct w:val="0"/>
              <w:bidi w:val="0"/>
              <w:rPr>
                <w:rFonts w:hint="default" w:ascii="Times New Roman" w:hAnsi="Times New Roman" w:eastAsia="宋体" w:cs="Times New Roman"/>
                <w:b/>
                <w:bCs/>
                <w:sz w:val="21"/>
                <w:szCs w:val="24"/>
                <w:lang w:val="en-US" w:eastAsia="zh-CN" w:bidi="ar-SA"/>
              </w:rPr>
            </w:pPr>
            <w:r>
              <w:rPr>
                <w:rFonts w:hint="default" w:ascii="Times New Roman" w:hAnsi="Times New Roman" w:eastAsia="宋体" w:cs="Times New Roman"/>
                <w:b/>
                <w:bCs/>
                <w:sz w:val="21"/>
                <w:szCs w:val="24"/>
                <w:lang w:val="en-US" w:eastAsia="zh-CN" w:bidi="ar-SA"/>
              </w:rPr>
              <w:t>图2-5</w:t>
            </w:r>
            <w:r>
              <w:rPr>
                <w:rFonts w:hint="default" w:ascii="Times New Roman" w:hAnsi="Times New Roman" w:eastAsia="宋体" w:cs="Times New Roman"/>
                <w:b/>
                <w:bCs/>
                <w:lang w:val="en-US" w:eastAsia="zh-CN"/>
              </w:rPr>
              <w:t>中空玻璃</w:t>
            </w:r>
            <w:r>
              <w:rPr>
                <w:rFonts w:hint="default" w:ascii="Times New Roman" w:hAnsi="Times New Roman" w:eastAsia="宋体" w:cs="Times New Roman"/>
                <w:b/>
                <w:bCs/>
                <w:sz w:val="21"/>
                <w:szCs w:val="24"/>
                <w:lang w:val="en-US" w:eastAsia="zh-CN" w:bidi="ar-SA"/>
              </w:rPr>
              <w:t>生产工艺流程图</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eastAsia="宋体" w:cs="Times New Roman"/>
                <w:lang w:val="en-US"/>
              </w:rPr>
            </w:pPr>
            <w:r>
              <w:rPr>
                <w:rFonts w:hint="default" w:ascii="Times New Roman" w:hAnsi="Times New Roman" w:eastAsia="宋体" w:cs="Times New Roman"/>
                <w:lang w:val="en-US"/>
              </w:rPr>
              <w:t>工艺说明：</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240" w:firstLineChars="100"/>
              <w:jc w:val="both"/>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①</w:t>
            </w:r>
            <w:r>
              <w:rPr>
                <w:rFonts w:hint="default" w:ascii="Times New Roman" w:hAnsi="Times New Roman" w:eastAsia="宋体" w:cs="Times New Roman"/>
                <w:bCs/>
                <w:sz w:val="24"/>
                <w:szCs w:val="24"/>
                <w:lang w:val="en-US" w:eastAsia="zh-CN"/>
              </w:rPr>
              <w:t>钢化玻璃</w:t>
            </w:r>
            <w:r>
              <w:rPr>
                <w:rFonts w:hint="default" w:ascii="Times New Roman" w:hAnsi="Times New Roman" w:eastAsia="宋体" w:cs="Times New Roman"/>
                <w:bCs/>
                <w:sz w:val="24"/>
                <w:szCs w:val="24"/>
              </w:rPr>
              <w:t>：</w:t>
            </w:r>
            <w:r>
              <w:rPr>
                <w:rFonts w:hint="default" w:ascii="Times New Roman" w:hAnsi="Times New Roman" w:eastAsia="宋体" w:cs="Times New Roman"/>
                <w:sz w:val="24"/>
                <w:lang w:val="en-US" w:eastAsia="zh-CN"/>
              </w:rPr>
              <w:t>利用自产的钢化玻璃作为原料</w:t>
            </w:r>
            <w:r>
              <w:rPr>
                <w:rFonts w:hint="default" w:ascii="Times New Roman" w:hAnsi="Times New Roman" w:eastAsia="宋体" w:cs="Times New Roman"/>
                <w:sz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both"/>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②灌装合胶：此过程铝条经切割和折弯加工成一定尺寸的铝隔框，</w:t>
            </w:r>
            <w:r>
              <w:rPr>
                <w:rFonts w:hint="default" w:ascii="Times New Roman" w:hAnsi="Times New Roman" w:eastAsia="宋体" w:cs="Times New Roman"/>
                <w:color w:val="auto"/>
                <w:kern w:val="2"/>
                <w:sz w:val="24"/>
                <w:szCs w:val="24"/>
                <w:lang w:val="en-US" w:eastAsia="zh-CN" w:bidi="ar-SA"/>
              </w:rPr>
              <w:t>采用自动分子筛灌装机对中空铝隔条填充分子筛干燥剂</w:t>
            </w:r>
            <w:r>
              <w:rPr>
                <w:rFonts w:hint="default" w:ascii="Times New Roman" w:hAnsi="Times New Roman" w:eastAsia="宋体" w:cs="Times New Roman"/>
                <w:bCs/>
                <w:sz w:val="24"/>
                <w:szCs w:val="24"/>
              </w:rPr>
              <w:t>，然后将丁基胶涂在铝框周围进行第一道密封，涂胶温度为电加热至140℃，进入合片平压工序，</w:t>
            </w:r>
            <w:r>
              <w:rPr>
                <w:rFonts w:hint="default" w:ascii="Times New Roman" w:hAnsi="Times New Roman" w:eastAsia="宋体" w:cs="Times New Roman"/>
                <w:bCs/>
                <w:sz w:val="24"/>
                <w:szCs w:val="24"/>
                <w:lang w:val="en-US" w:eastAsia="zh-CN"/>
              </w:rPr>
              <w:t>该</w:t>
            </w:r>
            <w:r>
              <w:rPr>
                <w:rFonts w:hint="default" w:ascii="Times New Roman" w:hAnsi="Times New Roman" w:eastAsia="宋体" w:cs="Times New Roman"/>
                <w:bCs/>
                <w:sz w:val="24"/>
                <w:szCs w:val="24"/>
              </w:rPr>
              <w:t>过程产生的污染物主要为丁基胶涂胶产生的少量有机废气、铝条切割产生的边角料及机械设备噪声。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240" w:firstLineChars="100"/>
              <w:jc w:val="both"/>
              <w:textAlignment w:val="auto"/>
              <w:rPr>
                <w:rFonts w:hint="default" w:ascii="Times New Roman" w:hAnsi="Times New Roman" w:eastAsia="宋体" w:cs="Times New Roman"/>
                <w:color w:val="000000"/>
              </w:rPr>
            </w:pPr>
            <w:r>
              <w:rPr>
                <w:rFonts w:hint="default" w:ascii="Times New Roman" w:hAnsi="Times New Roman" w:eastAsia="宋体" w:cs="Times New Roman"/>
                <w:color w:val="000000"/>
                <w:sz w:val="24"/>
              </w:rPr>
              <w:t>（本项目</w:t>
            </w:r>
            <w:r>
              <w:rPr>
                <w:rFonts w:hint="default" w:ascii="Times New Roman" w:hAnsi="Times New Roman" w:eastAsia="宋体" w:cs="Times New Roman"/>
                <w:bCs/>
                <w:sz w:val="24"/>
                <w:szCs w:val="24"/>
              </w:rPr>
              <w:t>丁基胶涂胶过程产生的少量有机废气</w:t>
            </w:r>
            <w:r>
              <w:rPr>
                <w:rFonts w:hint="default" w:ascii="Times New Roman" w:hAnsi="Times New Roman" w:eastAsia="宋体" w:cs="Times New Roman"/>
                <w:bCs/>
                <w:sz w:val="24"/>
                <w:szCs w:val="24"/>
                <w:lang w:val="en-US" w:eastAsia="zh-CN"/>
              </w:rPr>
              <w:t>经过集气罩收集后通过活性炭吸附设备处理后经过15m高的DA001排气筒排放</w:t>
            </w:r>
            <w:r>
              <w:rPr>
                <w:rFonts w:hint="default" w:ascii="Times New Roman" w:hAnsi="Times New Roman" w:eastAsia="宋体" w:cs="Times New Roman"/>
                <w:color w:val="000000"/>
                <w:sz w:val="24"/>
              </w:rPr>
              <w:t>。</w:t>
            </w:r>
            <w:r>
              <w:rPr>
                <w:rFonts w:hint="default" w:ascii="Times New Roman" w:hAnsi="Times New Roman" w:eastAsia="宋体" w:cs="Times New Roman"/>
                <w:bCs/>
                <w:sz w:val="24"/>
                <w:szCs w:val="24"/>
              </w:rPr>
              <w:t>铝条切割产生的边角料</w:t>
            </w:r>
            <w:r>
              <w:rPr>
                <w:rFonts w:hint="default" w:ascii="Times New Roman" w:hAnsi="Times New Roman" w:eastAsia="宋体" w:cs="Times New Roman"/>
                <w:color w:val="000000"/>
                <w:sz w:val="24"/>
              </w:rPr>
              <w:t>存放于固废暂存间，定期外售。噪声通过安装减震软垫进行减噪</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i w:val="0"/>
                <w:iCs/>
                <w:lang w:val="en-US" w:eastAsia="zh-CN"/>
              </w:rPr>
            </w:pPr>
            <w:r>
              <w:rPr>
                <w:rFonts w:hint="default" w:ascii="Times New Roman" w:hAnsi="Times New Roman" w:eastAsia="宋体" w:cs="Times New Roman"/>
                <w:bCs/>
                <w:sz w:val="24"/>
                <w:szCs w:val="24"/>
              </w:rPr>
              <w:t>③</w:t>
            </w:r>
            <w:r>
              <w:rPr>
                <w:rFonts w:hint="default" w:ascii="Times New Roman" w:hAnsi="Times New Roman" w:eastAsia="宋体" w:cs="Times New Roman"/>
                <w:bCs/>
                <w:kern w:val="2"/>
                <w:sz w:val="24"/>
                <w:szCs w:val="24"/>
                <w:lang w:val="en-US" w:eastAsia="zh-CN" w:bidi="ar-SA"/>
              </w:rPr>
              <w:t>合片平压：灌装合胶后的玻璃通过中空机进行合片并平压，以保证合片</w:t>
            </w:r>
            <w:r>
              <w:rPr>
                <w:rFonts w:hint="default" w:ascii="Times New Roman" w:hAnsi="Times New Roman" w:eastAsia="宋体" w:cs="Times New Roman"/>
                <w:color w:val="auto"/>
                <w:kern w:val="2"/>
                <w:sz w:val="24"/>
                <w:szCs w:val="24"/>
                <w:lang w:val="en-US" w:eastAsia="zh-CN" w:bidi="ar-SA"/>
              </w:rPr>
              <w:t>结构更加稳定</w:t>
            </w:r>
            <w:r>
              <w:rPr>
                <w:rFonts w:hint="default" w:ascii="Times New Roman" w:hAnsi="Times New Roman" w:eastAsia="宋体" w:cs="Times New Roman"/>
                <w:bCs/>
                <w:kern w:val="2"/>
                <w:sz w:val="24"/>
                <w:szCs w:val="24"/>
                <w:lang w:val="en-US" w:eastAsia="zh-CN" w:bidi="ar-SA"/>
              </w:rPr>
              <w:t>，此过程产生的污染物主要为中空机运行时产生的噪声。</w:t>
            </w:r>
            <w:r>
              <w:rPr>
                <w:rFonts w:hint="default" w:ascii="Times New Roman" w:hAnsi="Times New Roman" w:eastAsia="宋体" w:cs="Times New Roman"/>
                <w:i w:val="0"/>
                <w:iCs/>
                <w:color w:val="000000"/>
                <w:sz w:val="24"/>
                <w:lang w:eastAsia="zh-CN"/>
              </w:rPr>
              <w:t>（</w:t>
            </w:r>
            <w:r>
              <w:rPr>
                <w:rFonts w:hint="default" w:ascii="Times New Roman" w:hAnsi="Times New Roman" w:eastAsia="宋体" w:cs="Times New Roman"/>
                <w:color w:val="000000"/>
                <w:sz w:val="24"/>
              </w:rPr>
              <w:t>本项目</w:t>
            </w:r>
            <w:r>
              <w:rPr>
                <w:rFonts w:hint="default" w:ascii="Times New Roman" w:hAnsi="Times New Roman" w:eastAsia="宋体" w:cs="Times New Roman"/>
                <w:color w:val="000000"/>
                <w:sz w:val="24"/>
                <w:lang w:val="en-US" w:eastAsia="zh-CN"/>
              </w:rPr>
              <w:t>产生的</w:t>
            </w:r>
            <w:r>
              <w:rPr>
                <w:rFonts w:hint="default" w:ascii="Times New Roman" w:hAnsi="Times New Roman" w:eastAsia="宋体" w:cs="Times New Roman"/>
                <w:i w:val="0"/>
                <w:iCs/>
                <w:color w:val="000000"/>
                <w:sz w:val="24"/>
              </w:rPr>
              <w:t>噪声通过安装减震软垫进行减噪</w:t>
            </w:r>
            <w:r>
              <w:rPr>
                <w:rFonts w:hint="default" w:ascii="Times New Roman" w:hAnsi="Times New Roman" w:eastAsia="宋体" w:cs="Times New Roman"/>
                <w:i w:val="0"/>
                <w:iCs/>
                <w:color w:val="000000"/>
                <w:sz w:val="24"/>
                <w:lang w:eastAsia="zh-CN"/>
              </w:rPr>
              <w:t>。</w:t>
            </w:r>
            <w:r>
              <w:rPr>
                <w:rFonts w:hint="default" w:ascii="Times New Roman" w:hAnsi="Times New Roman" w:eastAsia="宋体" w:cs="Times New Roman"/>
                <w:i w:val="0"/>
                <w:iCs/>
                <w:color w:val="000000"/>
                <w:sz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rPr>
              <w:t>④</w:t>
            </w:r>
            <w:r>
              <w:rPr>
                <w:rFonts w:hint="default" w:ascii="Times New Roman" w:hAnsi="Times New Roman" w:eastAsia="宋体" w:cs="Times New Roman"/>
                <w:bCs/>
                <w:sz w:val="24"/>
                <w:szCs w:val="24"/>
                <w:lang w:val="en-US" w:eastAsia="zh-CN"/>
              </w:rPr>
              <w:t>密封：经平压后的玻璃用</w:t>
            </w:r>
            <w:r>
              <w:rPr>
                <w:rFonts w:hint="default" w:ascii="Times New Roman" w:hAnsi="Times New Roman" w:eastAsia="宋体" w:cs="Times New Roman"/>
                <w:color w:val="000000"/>
                <w:spacing w:val="11"/>
                <w:kern w:val="2"/>
                <w:sz w:val="24"/>
                <w:szCs w:val="24"/>
                <w:lang w:val="en-US" w:eastAsia="zh-CN" w:bidi="ar-SA"/>
              </w:rPr>
              <w:t>双组份硅酮结构密封胶</w:t>
            </w:r>
            <w:r>
              <w:rPr>
                <w:rFonts w:hint="default" w:ascii="Times New Roman" w:hAnsi="Times New Roman" w:eastAsia="宋体" w:cs="Times New Roman"/>
                <w:bCs/>
                <w:sz w:val="24"/>
                <w:szCs w:val="24"/>
                <w:lang w:val="en-US" w:eastAsia="zh-CN"/>
              </w:rPr>
              <w:t>密封后即为中空玻璃，</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0" w:firstLineChars="0"/>
              <w:jc w:val="both"/>
              <w:textAlignment w:val="auto"/>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val="en-US" w:eastAsia="zh-CN"/>
              </w:rPr>
              <w:t>此过程主要产生机械设备噪声及有机废气（非甲烷总烃、甲苯、二甲苯）。</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0" w:firstLineChars="0"/>
              <w:jc w:val="both"/>
              <w:textAlignment w:val="auto"/>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color w:val="000000"/>
                <w:sz w:val="24"/>
              </w:rPr>
              <w:t>（本项目</w:t>
            </w:r>
            <w:r>
              <w:rPr>
                <w:rFonts w:hint="default" w:ascii="Times New Roman" w:hAnsi="Times New Roman" w:eastAsia="宋体" w:cs="Times New Roman"/>
                <w:color w:val="000000"/>
                <w:spacing w:val="11"/>
                <w:kern w:val="2"/>
                <w:sz w:val="24"/>
                <w:szCs w:val="24"/>
                <w:lang w:val="en-US" w:eastAsia="zh-CN" w:bidi="ar-SA"/>
              </w:rPr>
              <w:t>双组份硅酮结构密封胶</w:t>
            </w:r>
            <w:r>
              <w:rPr>
                <w:rFonts w:hint="default" w:ascii="Times New Roman" w:hAnsi="Times New Roman" w:eastAsia="宋体" w:cs="Times New Roman"/>
                <w:bCs/>
                <w:sz w:val="24"/>
                <w:szCs w:val="24"/>
                <w:lang w:val="en-US" w:eastAsia="zh-CN"/>
              </w:rPr>
              <w:t>密封</w:t>
            </w:r>
            <w:r>
              <w:rPr>
                <w:rFonts w:hint="default" w:ascii="Times New Roman" w:hAnsi="Times New Roman" w:eastAsia="宋体" w:cs="Times New Roman"/>
                <w:bCs/>
                <w:sz w:val="24"/>
                <w:szCs w:val="24"/>
              </w:rPr>
              <w:t>过程</w:t>
            </w:r>
            <w:r>
              <w:rPr>
                <w:rFonts w:hint="default" w:ascii="Times New Roman" w:hAnsi="Times New Roman" w:eastAsia="宋体" w:cs="Times New Roman"/>
                <w:bCs/>
                <w:sz w:val="24"/>
                <w:szCs w:val="24"/>
                <w:lang w:val="en-US" w:eastAsia="zh-CN"/>
              </w:rPr>
              <w:t>中</w:t>
            </w:r>
            <w:r>
              <w:rPr>
                <w:rFonts w:hint="default" w:ascii="Times New Roman" w:hAnsi="Times New Roman" w:eastAsia="宋体" w:cs="Times New Roman"/>
                <w:bCs/>
                <w:sz w:val="24"/>
                <w:szCs w:val="24"/>
              </w:rPr>
              <w:t>产生的少量有机废气</w:t>
            </w:r>
            <w:r>
              <w:rPr>
                <w:rFonts w:hint="default" w:ascii="Times New Roman" w:hAnsi="Times New Roman" w:eastAsia="宋体" w:cs="Times New Roman"/>
                <w:bCs/>
                <w:sz w:val="24"/>
                <w:szCs w:val="24"/>
                <w:lang w:val="en-US" w:eastAsia="zh-CN"/>
              </w:rPr>
              <w:t>经过集气罩收集后通过活性炭吸附设备处理后经过15m高的DA001排气筒排放</w:t>
            </w:r>
            <w:r>
              <w:rPr>
                <w:rFonts w:hint="default" w:ascii="Times New Roman" w:hAnsi="Times New Roman" w:eastAsia="宋体" w:cs="Times New Roman"/>
                <w:color w:val="000000"/>
                <w:sz w:val="24"/>
              </w:rPr>
              <w:t>。噪声通过安装减震软垫进行减噪</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0" w:firstLineChars="0"/>
              <w:jc w:val="both"/>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⑤检验</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spacing w:val="-2"/>
                <w:sz w:val="24"/>
                <w:lang w:val="en-US" w:eastAsia="zh-CN"/>
              </w:rPr>
              <w:t>覆膜、</w:t>
            </w:r>
            <w:r>
              <w:rPr>
                <w:rFonts w:hint="default" w:ascii="Times New Roman" w:hAnsi="Times New Roman" w:eastAsia="宋体" w:cs="Times New Roman"/>
                <w:bCs/>
                <w:sz w:val="24"/>
                <w:szCs w:val="24"/>
                <w:lang w:val="en-US" w:eastAsia="zh-CN"/>
              </w:rPr>
              <w:t>上架成品</w:t>
            </w:r>
            <w:r>
              <w:rPr>
                <w:rFonts w:hint="default" w:ascii="Times New Roman" w:hAnsi="Times New Roman" w:eastAsia="宋体" w:cs="Times New Roman"/>
                <w:bCs/>
                <w:sz w:val="24"/>
                <w:szCs w:val="24"/>
              </w:rPr>
              <w:t>：钢化玻璃通过检验后满足产品要求后</w:t>
            </w:r>
            <w:r>
              <w:rPr>
                <w:rFonts w:hint="default" w:ascii="Times New Roman" w:hAnsi="Times New Roman" w:eastAsia="宋体" w:cs="Times New Roman"/>
                <w:b w:val="0"/>
                <w:bCs/>
                <w:sz w:val="24"/>
                <w:szCs w:val="24"/>
                <w:lang w:val="en-US" w:eastAsia="zh-CN"/>
              </w:rPr>
              <w:t>需要在表面用覆膜机进行覆盖一层塑料薄膜，以避免在运输过程中刮花玻璃，最后</w:t>
            </w:r>
            <w:r>
              <w:rPr>
                <w:rFonts w:hint="default" w:ascii="Times New Roman" w:hAnsi="Times New Roman" w:eastAsia="宋体" w:cs="Times New Roman"/>
                <w:bCs/>
                <w:sz w:val="24"/>
                <w:szCs w:val="24"/>
              </w:rPr>
              <w:t>上架成品。次品玻璃作为废玻璃</w:t>
            </w:r>
            <w:r>
              <w:rPr>
                <w:rFonts w:hint="default" w:ascii="Times New Roman" w:hAnsi="Times New Roman" w:eastAsia="宋体" w:cs="Times New Roman"/>
                <w:bCs/>
                <w:sz w:val="24"/>
                <w:szCs w:val="24"/>
                <w:lang w:val="en-US" w:eastAsia="zh-CN"/>
              </w:rPr>
              <w:t>存放于一般固废暂存间</w:t>
            </w:r>
            <w:r>
              <w:rPr>
                <w:rFonts w:hint="default" w:ascii="Times New Roman" w:hAnsi="Times New Roman" w:eastAsia="宋体" w:cs="Times New Roman"/>
                <w:bCs/>
                <w:sz w:val="24"/>
                <w:szCs w:val="24"/>
              </w:rPr>
              <w:t>委托</w:t>
            </w:r>
            <w:r>
              <w:rPr>
                <w:rFonts w:hint="default" w:ascii="Times New Roman" w:hAnsi="Times New Roman" w:eastAsia="宋体" w:cs="Times New Roman"/>
                <w:bCs/>
                <w:sz w:val="24"/>
                <w:szCs w:val="24"/>
                <w:lang w:val="en-US" w:eastAsia="zh-CN"/>
              </w:rPr>
              <w:t>环卫部门</w:t>
            </w:r>
            <w:r>
              <w:rPr>
                <w:rFonts w:hint="default" w:ascii="Times New Roman" w:hAnsi="Times New Roman" w:eastAsia="宋体" w:cs="Times New Roman"/>
                <w:bCs/>
                <w:sz w:val="24"/>
                <w:szCs w:val="24"/>
              </w:rPr>
              <w:t>回收。</w:t>
            </w:r>
          </w:p>
          <w:p>
            <w:pPr>
              <w:numPr>
                <w:ilvl w:val="0"/>
                <w:numId w:val="0"/>
              </w:numPr>
              <w:spacing w:line="360" w:lineRule="auto"/>
              <w:ind w:leftChars="0" w:firstLine="482" w:firstLineChars="200"/>
              <w:rPr>
                <w:rFonts w:hint="default" w:ascii="Times New Roman" w:hAnsi="Times New Roman" w:cs="Times New Roman"/>
                <w:b/>
                <w:bCs/>
                <w:color w:val="000000"/>
                <w:sz w:val="24"/>
                <w:lang w:val="en-US" w:eastAsia="zh-CN"/>
              </w:rPr>
            </w:pPr>
            <w:r>
              <w:rPr>
                <w:rFonts w:hint="eastAsia" w:ascii="Times New Roman" w:hAnsi="Times New Roman" w:cs="Times New Roman"/>
                <w:b/>
                <w:bCs/>
                <w:color w:val="000000"/>
                <w:sz w:val="24"/>
                <w:lang w:val="en-US" w:eastAsia="zh-CN"/>
              </w:rPr>
              <w:t>四、</w:t>
            </w:r>
            <w:r>
              <w:rPr>
                <w:rFonts w:hint="default" w:ascii="Times New Roman" w:hAnsi="Times New Roman" w:cs="Times New Roman"/>
                <w:b/>
                <w:bCs/>
                <w:color w:val="000000"/>
                <w:sz w:val="24"/>
                <w:lang w:val="en-US" w:eastAsia="zh-CN"/>
              </w:rPr>
              <w:t>原有项目污染物产排放情况</w:t>
            </w:r>
          </w:p>
          <w:p>
            <w:pPr>
              <w:pStyle w:val="6"/>
              <w:keepNext w:val="0"/>
              <w:keepLines w:val="0"/>
              <w:pageBreakBefore w:val="0"/>
              <w:widowControl w:val="0"/>
              <w:kinsoku/>
              <w:wordWrap/>
              <w:overflowPunct/>
              <w:topLinePunct w:val="0"/>
              <w:bidi w:val="0"/>
              <w:adjustRightInd/>
              <w:spacing w:line="360" w:lineRule="auto"/>
              <w:ind w:leftChars="0" w:firstLine="0"/>
              <w:jc w:val="both"/>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rPr>
              <w:t>1、</w:t>
            </w:r>
            <w:r>
              <w:rPr>
                <w:rFonts w:hint="default" w:ascii="Times New Roman" w:hAnsi="Times New Roman" w:eastAsia="宋体" w:cs="Times New Roman"/>
                <w:b/>
                <w:bCs w:val="0"/>
                <w:color w:val="auto"/>
                <w:sz w:val="24"/>
                <w:szCs w:val="24"/>
                <w:lang w:val="en-US" w:eastAsia="zh-CN"/>
              </w:rPr>
              <w:t>废水污染物处理和排放流程</w:t>
            </w:r>
          </w:p>
          <w:p>
            <w:pPr>
              <w:keepNext w:val="0"/>
              <w:keepLines w:val="0"/>
              <w:pageBreakBefore w:val="0"/>
              <w:kinsoku/>
              <w:wordWrap/>
              <w:overflowPunct/>
              <w:topLinePunct w:val="0"/>
              <w:bidi w:val="0"/>
              <w:rPr>
                <w:rFonts w:hint="default" w:ascii="Times New Roman" w:hAnsi="Times New Roman" w:eastAsia="宋体" w:cs="Times New Roman"/>
                <w:color w:val="auto"/>
                <w:highlight w:val="none"/>
              </w:rPr>
            </w:pPr>
            <w:r>
              <w:rPr>
                <w:rFonts w:hint="default" w:ascii="Times New Roman" w:hAnsi="Times New Roman" w:eastAsia="宋体" w:cs="Times New Roman"/>
                <w:sz w:val="24"/>
                <w:szCs w:val="24"/>
                <w:lang w:val="en-US" w:eastAsia="zh-CN"/>
              </w:rPr>
              <w:t>近期：</w:t>
            </w:r>
            <w:r>
              <w:rPr>
                <w:rFonts w:hint="default" w:ascii="Times New Roman" w:hAnsi="Times New Roman" w:eastAsia="宋体" w:cs="Times New Roman"/>
                <w:sz w:val="24"/>
                <w:szCs w:val="24"/>
              </w:rPr>
              <w:t>本项目</w:t>
            </w:r>
            <w:r>
              <w:rPr>
                <w:rFonts w:hint="default" w:ascii="Times New Roman" w:hAnsi="Times New Roman" w:eastAsia="宋体" w:cs="Times New Roman"/>
                <w:sz w:val="24"/>
                <w:szCs w:val="24"/>
                <w:lang w:val="en-US" w:eastAsia="zh-CN"/>
              </w:rPr>
              <w:t>生活废水</w:t>
            </w:r>
            <w:r>
              <w:rPr>
                <w:rFonts w:hint="default" w:ascii="Times New Roman" w:hAnsi="Times New Roman" w:eastAsia="宋体" w:cs="Times New Roman"/>
                <w:sz w:val="24"/>
                <w:szCs w:val="24"/>
                <w:lang w:eastAsia="zh-CN"/>
              </w:rPr>
              <w:t>依托</w:t>
            </w:r>
            <w:r>
              <w:rPr>
                <w:rFonts w:hint="default" w:ascii="Times New Roman" w:hAnsi="Times New Roman" w:cs="Times New Roman"/>
                <w:sz w:val="24"/>
                <w:szCs w:val="24"/>
                <w:lang w:val="en-US" w:eastAsia="zh-CN"/>
              </w:rPr>
              <w:t>云南鑫成鹏高分子科技有限公司</w:t>
            </w:r>
            <w:r>
              <w:rPr>
                <w:rFonts w:hint="default" w:ascii="Times New Roman" w:hAnsi="Times New Roman" w:eastAsia="宋体" w:cs="Times New Roman"/>
                <w:sz w:val="24"/>
                <w:szCs w:val="24"/>
                <w:lang w:eastAsia="zh-CN"/>
              </w:rPr>
              <w:t>化粪池</w:t>
            </w:r>
            <w:r>
              <w:rPr>
                <w:rFonts w:hint="default" w:ascii="Times New Roman" w:hAnsi="Times New Roman" w:eastAsia="宋体" w:cs="Times New Roman"/>
                <w:sz w:val="24"/>
                <w:szCs w:val="24"/>
                <w:lang w:val="en-US" w:eastAsia="zh-CN"/>
              </w:rPr>
              <w:t>处理后，</w:t>
            </w:r>
            <w:r>
              <w:rPr>
                <w:rFonts w:hint="default" w:ascii="Times New Roman" w:hAnsi="Times New Roman" w:eastAsia="宋体" w:cs="Times New Roman"/>
                <w:sz w:val="24"/>
                <w:szCs w:val="24"/>
                <w:lang w:eastAsia="zh-CN"/>
              </w:rPr>
              <w:t>最终进入依托</w:t>
            </w:r>
            <w:r>
              <w:rPr>
                <w:rFonts w:hint="default" w:ascii="Times New Roman" w:hAnsi="Times New Roman" w:cs="Times New Roman"/>
                <w:sz w:val="24"/>
                <w:szCs w:val="24"/>
                <w:lang w:eastAsia="zh-CN"/>
              </w:rPr>
              <w:t>云南鑫成鹏高分子科技有限公司</w:t>
            </w:r>
            <w:r>
              <w:rPr>
                <w:rFonts w:hint="default" w:ascii="Times New Roman" w:hAnsi="Times New Roman" w:eastAsia="宋体" w:cs="Times New Roman"/>
                <w:sz w:val="24"/>
                <w:szCs w:val="24"/>
                <w:lang w:eastAsia="zh-CN"/>
              </w:rPr>
              <w:t>的一体化污水处理设施</w:t>
            </w:r>
            <w:r>
              <w:rPr>
                <w:rFonts w:hint="default" w:ascii="Times New Roman" w:hAnsi="Times New Roman" w:eastAsia="宋体" w:cs="Times New Roman"/>
                <w:sz w:val="24"/>
                <w:szCs w:val="24"/>
                <w:lang w:val="en-US" w:eastAsia="zh-CN"/>
              </w:rPr>
              <w:t>处理达到</w:t>
            </w:r>
            <w:r>
              <w:rPr>
                <w:rFonts w:hint="default" w:ascii="Times New Roman" w:hAnsi="Times New Roman" w:eastAsia="宋体" w:cs="Times New Roman"/>
                <w:color w:val="000000"/>
                <w:sz w:val="24"/>
                <w:szCs w:val="24"/>
                <w:lang w:val="en-US" w:eastAsia="zh-CN"/>
              </w:rPr>
              <w:t>《城市污水再生利用城市杂用水水质》（GB/T18920-2020）</w:t>
            </w:r>
            <w:r>
              <w:rPr>
                <w:rFonts w:hint="default" w:ascii="Times New Roman" w:hAnsi="Times New Roman" w:eastAsia="宋体" w:cs="Times New Roman"/>
                <w:bCs/>
                <w:color w:val="000000"/>
                <w:sz w:val="24"/>
                <w:szCs w:val="24"/>
              </w:rPr>
              <w:t>标准</w:t>
            </w:r>
            <w:r>
              <w:rPr>
                <w:rFonts w:hint="default" w:ascii="Times New Roman" w:hAnsi="Times New Roman" w:eastAsia="宋体" w:cs="Times New Roman"/>
                <w:sz w:val="24"/>
                <w:szCs w:val="24"/>
                <w:lang w:val="en-US" w:eastAsia="zh-CN"/>
              </w:rPr>
              <w:t>回用于绿化和道路浇洒</w:t>
            </w:r>
            <w:r>
              <w:rPr>
                <w:rFonts w:hint="default" w:ascii="Times New Roman" w:hAnsi="Times New Roman" w:eastAsia="宋体" w:cs="Times New Roman"/>
                <w:color w:val="auto"/>
                <w:highlight w:val="none"/>
              </w:rPr>
              <w:t>。</w:t>
            </w:r>
          </w:p>
          <w:p>
            <w:pPr>
              <w:keepNext w:val="0"/>
              <w:keepLines w:val="0"/>
              <w:pageBreakBefore w:val="0"/>
              <w:kinsoku/>
              <w:wordWrap/>
              <w:overflowPunct/>
              <w:topLinePunct w:val="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000000"/>
                <w:lang w:val="en-US" w:eastAsia="zh-CN"/>
              </w:rPr>
              <w:t>远期：</w:t>
            </w:r>
            <w:r>
              <w:rPr>
                <w:rFonts w:hint="default" w:ascii="Times New Roman" w:hAnsi="Times New Roman" w:eastAsia="宋体" w:cs="Times New Roman"/>
                <w:color w:val="auto"/>
              </w:rPr>
              <w:t>食堂废水经</w:t>
            </w:r>
            <w:r>
              <w:rPr>
                <w:rFonts w:hint="eastAsia" w:cs="Times New Roman"/>
                <w:color w:val="auto"/>
                <w:lang w:eastAsia="zh-CN"/>
              </w:rPr>
              <w:t>油水分离器</w:t>
            </w:r>
            <w:r>
              <w:rPr>
                <w:rFonts w:hint="default" w:ascii="Times New Roman" w:hAnsi="Times New Roman" w:eastAsia="宋体" w:cs="Times New Roman"/>
                <w:color w:val="auto"/>
              </w:rPr>
              <w:t>处理后与其他生活污水一起排入化粪池处理，经处理后达到《污水排入城镇下水道水质标准》（GB/T31962-2015）表1中A等级标准后，排入</w:t>
            </w:r>
            <w:r>
              <w:rPr>
                <w:rFonts w:hint="default" w:ascii="Times New Roman" w:hAnsi="Times New Roman" w:eastAsia="宋体" w:cs="Times New Roman"/>
                <w:color w:val="auto"/>
                <w:lang w:val="en-US" w:eastAsia="zh-CN"/>
              </w:rPr>
              <w:t>园区</w:t>
            </w:r>
            <w:r>
              <w:rPr>
                <w:rFonts w:hint="default" w:ascii="Times New Roman" w:hAnsi="Times New Roman" w:eastAsia="宋体" w:cs="Times New Roman"/>
                <w:color w:val="auto"/>
              </w:rPr>
              <w:t>污水管网</w:t>
            </w:r>
            <w:r>
              <w:rPr>
                <w:rFonts w:hint="default" w:ascii="Times New Roman" w:hAnsi="Times New Roman" w:eastAsia="宋体" w:cs="Times New Roman"/>
                <w:color w:val="auto"/>
                <w:lang w:val="en-US" w:eastAsia="zh-CN"/>
              </w:rPr>
              <w:t>。</w:t>
            </w:r>
          </w:p>
          <w:p>
            <w:pPr>
              <w:keepNext w:val="0"/>
              <w:keepLines w:val="0"/>
              <w:pageBreakBefore w:val="0"/>
              <w:tabs>
                <w:tab w:val="left" w:pos="7200"/>
              </w:tabs>
              <w:kinsoku/>
              <w:wordWrap/>
              <w:overflowPunct/>
              <w:topLinePunct w:val="0"/>
              <w:bidi w:val="0"/>
              <w:adjustRightInd w:val="0"/>
              <w:ind w:firstLine="480" w:firstLineChars="200"/>
              <w:jc w:val="left"/>
              <w:textAlignment w:val="baseline"/>
              <w:rPr>
                <w:rFonts w:hint="default" w:ascii="Times New Roman" w:hAnsi="Times New Roman" w:eastAsia="宋体" w:cs="Times New Roman"/>
                <w:b/>
                <w:bCs/>
                <w:color w:val="auto"/>
                <w:lang w:val="en-US" w:eastAsia="zh-CN"/>
              </w:rPr>
            </w:pPr>
            <w:r>
              <w:rPr>
                <w:rFonts w:hint="default" w:ascii="Times New Roman" w:hAnsi="Times New Roman" w:eastAsia="宋体" w:cs="Times New Roman"/>
                <w:color w:val="000000"/>
                <w:lang w:val="en-US" w:eastAsia="zh-CN"/>
              </w:rPr>
              <w:t>根据建设单位提供的水费清单可知项目2-3月总用水量为329</w:t>
            </w:r>
            <w:r>
              <w:rPr>
                <w:rFonts w:hint="default" w:ascii="Times New Roman" w:hAnsi="Times New Roman" w:cs="Times New Roman"/>
                <w:color w:val="000000"/>
                <w:lang w:val="en-US" w:eastAsia="zh-CN"/>
              </w:rPr>
              <w:t>m³</w:t>
            </w:r>
            <w:r>
              <w:rPr>
                <w:rFonts w:hint="default" w:ascii="Times New Roman" w:hAnsi="Times New Roman" w:eastAsia="宋体" w:cs="Times New Roman"/>
                <w:color w:val="000000"/>
                <w:lang w:val="en-US" w:eastAsia="zh-CN"/>
              </w:rPr>
              <w:t>，则每月平均水量为164.5</w:t>
            </w:r>
            <w:r>
              <w:rPr>
                <w:rFonts w:hint="default" w:ascii="Times New Roman" w:hAnsi="Times New Roman" w:cs="Times New Roman"/>
                <w:color w:val="000000"/>
                <w:lang w:val="en-US" w:eastAsia="zh-CN"/>
              </w:rPr>
              <w:t>m³</w:t>
            </w:r>
            <w:r>
              <w:rPr>
                <w:rFonts w:hint="default" w:ascii="Times New Roman" w:hAnsi="Times New Roman" w:eastAsia="宋体" w:cs="Times New Roman"/>
                <w:color w:val="000000"/>
                <w:vertAlign w:val="baseline"/>
                <w:lang w:val="en-US" w:eastAsia="zh-CN"/>
              </w:rPr>
              <w:t>。则</w:t>
            </w:r>
            <w:r>
              <w:rPr>
                <w:rFonts w:hint="default" w:ascii="Times New Roman" w:hAnsi="Times New Roman" w:eastAsia="宋体" w:cs="Times New Roman"/>
                <w:color w:val="000000"/>
                <w:sz w:val="24"/>
                <w:szCs w:val="24"/>
                <w:lang w:val="en-US" w:eastAsia="zh-CN"/>
              </w:rPr>
              <w:t>本项目</w:t>
            </w:r>
            <w:r>
              <w:rPr>
                <w:rFonts w:hint="default" w:ascii="Times New Roman" w:hAnsi="Times New Roman" w:eastAsia="宋体" w:cs="Times New Roman"/>
                <w:color w:val="000000"/>
                <w:lang w:val="en-US" w:eastAsia="zh-CN"/>
              </w:rPr>
              <w:t>总用水量为1645</w:t>
            </w:r>
            <w:r>
              <w:rPr>
                <w:rFonts w:hint="default" w:ascii="Times New Roman" w:hAnsi="Times New Roman" w:cs="Times New Roman"/>
                <w:color w:val="000000"/>
                <w:lang w:val="en-US" w:eastAsia="zh-CN"/>
              </w:rPr>
              <w:t>m³</w:t>
            </w:r>
            <w:r>
              <w:rPr>
                <w:rFonts w:hint="default" w:ascii="Times New Roman" w:hAnsi="Times New Roman" w:eastAsia="宋体" w:cs="Times New Roman"/>
                <w:color w:val="000000"/>
                <w:vertAlign w:val="baseline"/>
                <w:lang w:val="en-US" w:eastAsia="zh-CN"/>
              </w:rPr>
              <w:t>/a</w:t>
            </w:r>
            <w:r>
              <w:rPr>
                <w:rFonts w:hint="default" w:ascii="Times New Roman" w:hAnsi="Times New Roman" w:eastAsia="宋体" w:cs="Times New Roman"/>
                <w:color w:val="000000"/>
                <w:lang w:val="en-US" w:eastAsia="zh-CN"/>
              </w:rPr>
              <w:t>，其中生产用水为600</w:t>
            </w:r>
            <w:r>
              <w:rPr>
                <w:rFonts w:hint="default" w:ascii="Times New Roman" w:hAnsi="Times New Roman" w:cs="Times New Roman"/>
                <w:color w:val="000000"/>
                <w:lang w:val="en-US" w:eastAsia="zh-CN"/>
              </w:rPr>
              <w:t>m³</w:t>
            </w:r>
            <w:r>
              <w:rPr>
                <w:rFonts w:hint="default" w:ascii="Times New Roman" w:hAnsi="Times New Roman" w:eastAsia="宋体" w:cs="Times New Roman"/>
                <w:color w:val="000000"/>
                <w:vertAlign w:val="baseline"/>
                <w:lang w:val="en-US" w:eastAsia="zh-CN"/>
              </w:rPr>
              <w:t>/a</w:t>
            </w:r>
            <w:r>
              <w:rPr>
                <w:rFonts w:hint="default" w:ascii="Times New Roman" w:hAnsi="Times New Roman" w:eastAsia="宋体" w:cs="Times New Roman"/>
                <w:color w:val="000000"/>
                <w:lang w:val="en-US" w:eastAsia="zh-CN"/>
              </w:rPr>
              <w:t>。生活用水为1045</w:t>
            </w:r>
            <w:r>
              <w:rPr>
                <w:rFonts w:hint="default" w:ascii="Times New Roman" w:hAnsi="Times New Roman" w:cs="Times New Roman"/>
                <w:color w:val="000000"/>
                <w:lang w:val="en-US" w:eastAsia="zh-CN"/>
              </w:rPr>
              <w:t>m³</w:t>
            </w:r>
            <w:r>
              <w:rPr>
                <w:rFonts w:hint="default" w:ascii="Times New Roman" w:hAnsi="Times New Roman" w:eastAsia="宋体" w:cs="Times New Roman"/>
                <w:color w:val="000000"/>
                <w:vertAlign w:val="baseline"/>
                <w:lang w:val="en-US" w:eastAsia="zh-CN"/>
              </w:rPr>
              <w:t>/a</w:t>
            </w:r>
            <w:r>
              <w:rPr>
                <w:rFonts w:hint="default" w:ascii="Times New Roman" w:hAnsi="Times New Roman" w:eastAsia="宋体" w:cs="Times New Roman"/>
                <w:color w:val="000000"/>
                <w:lang w:val="en-US" w:eastAsia="zh-CN"/>
              </w:rPr>
              <w:t>。</w:t>
            </w:r>
          </w:p>
          <w:p>
            <w:pPr>
              <w:pStyle w:val="6"/>
              <w:keepNext w:val="0"/>
              <w:keepLines w:val="0"/>
              <w:pageBreakBefore w:val="0"/>
              <w:widowControl w:val="0"/>
              <w:kinsoku/>
              <w:wordWrap/>
              <w:overflowPunct/>
              <w:topLinePunct w:val="0"/>
              <w:autoSpaceDE/>
              <w:autoSpaceDN/>
              <w:bidi w:val="0"/>
              <w:adjustRightInd w:val="0"/>
              <w:snapToGrid/>
              <w:spacing w:line="360" w:lineRule="auto"/>
              <w:ind w:leftChars="0" w:firstLine="482" w:firstLineChars="200"/>
              <w:jc w:val="both"/>
              <w:textAlignment w:val="baseline"/>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2、废气</w:t>
            </w:r>
            <w:r>
              <w:rPr>
                <w:rFonts w:hint="default" w:ascii="Times New Roman" w:hAnsi="Times New Roman" w:eastAsia="宋体" w:cs="Times New Roman"/>
                <w:b/>
                <w:color w:val="auto"/>
                <w:sz w:val="24"/>
                <w:szCs w:val="24"/>
                <w:lang w:val="en-US" w:eastAsia="zh-CN"/>
              </w:rPr>
              <w:t>污染物处理和排放流程</w:t>
            </w:r>
          </w:p>
          <w:p>
            <w:pPr>
              <w:keepNext w:val="0"/>
              <w:keepLines w:val="0"/>
              <w:pageBreakBefore w:val="0"/>
              <w:widowControl w:val="0"/>
              <w:numPr>
                <w:ilvl w:val="0"/>
                <w:numId w:val="0"/>
              </w:numPr>
              <w:kinsoku/>
              <w:wordWrap/>
              <w:overflowPunct/>
              <w:topLinePunct w:val="0"/>
              <w:bidi w:val="0"/>
              <w:snapToGrid w:val="0"/>
              <w:ind w:leftChars="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项目运营期产生的废气主要来自于</w:t>
            </w:r>
            <w:r>
              <w:rPr>
                <w:rFonts w:hint="default" w:ascii="Times New Roman" w:hAnsi="Times New Roman" w:eastAsia="宋体" w:cs="Times New Roman"/>
                <w:kern w:val="2"/>
                <w:sz w:val="24"/>
                <w:szCs w:val="24"/>
                <w:lang w:val="en-US" w:eastAsia="zh-CN" w:bidi="ar-SA"/>
              </w:rPr>
              <w:t>中空玻璃密封工序产生的有机废气（以非甲烷总烃计）、甲苯、二甲苯。</w:t>
            </w:r>
          </w:p>
          <w:p>
            <w:pPr>
              <w:pStyle w:val="87"/>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eastAsia="宋体" w:cs="Times New Roman"/>
                <w:spacing w:val="-11"/>
                <w:sz w:val="24"/>
                <w:szCs w:val="24"/>
                <w:lang w:val="en-US" w:eastAsia="zh-CN"/>
              </w:rPr>
            </w:pPr>
            <w:r>
              <w:rPr>
                <w:rFonts w:hint="default" w:ascii="Times New Roman" w:hAnsi="Times New Roman" w:eastAsia="宋体" w:cs="Times New Roman"/>
                <w:b/>
                <w:bCs/>
                <w:kern w:val="2"/>
                <w:sz w:val="24"/>
                <w:szCs w:val="24"/>
                <w:lang w:val="en-US" w:eastAsia="zh-CN" w:bidi="ar-SA"/>
              </w:rPr>
              <w:t>中空玻璃密封工序产生的有机废气（以非甲烷总烃计）、甲苯、二甲苯</w:t>
            </w:r>
            <w:r>
              <w:rPr>
                <w:rFonts w:hint="default" w:ascii="Times New Roman" w:hAnsi="Times New Roman" w:eastAsia="宋体" w:cs="Times New Roman"/>
                <w:b/>
                <w:bCs/>
                <w:kern w:val="2"/>
                <w:sz w:val="24"/>
                <w:szCs w:val="21"/>
                <w:lang w:val="en-US" w:eastAsia="zh-CN" w:bidi="ar-SA"/>
              </w:rPr>
              <w:t>：</w:t>
            </w:r>
            <w:r>
              <w:rPr>
                <w:rFonts w:hint="default" w:ascii="Times New Roman" w:hAnsi="Times New Roman" w:eastAsia="宋体" w:cs="Times New Roman"/>
                <w:spacing w:val="-10"/>
                <w:sz w:val="24"/>
                <w:szCs w:val="24"/>
                <w:lang w:val="en-US" w:eastAsia="zh-CN"/>
              </w:rPr>
              <w:t>本项目两条</w:t>
            </w:r>
            <w:r>
              <w:rPr>
                <w:rFonts w:hint="default" w:ascii="Times New Roman" w:hAnsi="Times New Roman" w:eastAsia="宋体" w:cs="Times New Roman"/>
                <w:kern w:val="2"/>
                <w:sz w:val="24"/>
                <w:szCs w:val="24"/>
                <w:lang w:val="en-US" w:eastAsia="zh-CN" w:bidi="ar-SA"/>
              </w:rPr>
              <w:t>中空玻璃密封工序采用丁基密封胶作为第一道密封胶（内道密封）</w:t>
            </w:r>
          </w:p>
          <w:p>
            <w:pPr>
              <w:pStyle w:val="87"/>
              <w:numPr>
                <w:ilvl w:val="0"/>
                <w:numId w:val="0"/>
              </w:numPr>
              <w:spacing w:line="360" w:lineRule="auto"/>
              <w:jc w:val="both"/>
              <w:rPr>
                <w:rFonts w:hint="default" w:ascii="Times New Roman" w:hAnsi="Times New Roman" w:eastAsia="宋体" w:cs="Times New Roman"/>
                <w:spacing w:val="-11"/>
                <w:sz w:val="24"/>
                <w:szCs w:val="24"/>
                <w:lang w:val="en-US" w:eastAsia="zh-CN"/>
              </w:rPr>
            </w:pPr>
            <w:r>
              <w:rPr>
                <w:rFonts w:hint="default" w:ascii="Times New Roman" w:hAnsi="Times New Roman" w:eastAsia="宋体" w:cs="Times New Roman"/>
                <w:kern w:val="2"/>
                <w:sz w:val="24"/>
                <w:szCs w:val="24"/>
                <w:lang w:val="en-US" w:eastAsia="zh-CN" w:bidi="ar-SA"/>
              </w:rPr>
              <w:t>上方设置两个集气罩和双组份硅酮结构密封胶作为第二道密封胶上方设置两个集气罩，其密封过程中产生的有机废气（以非甲烷总烃计）、甲苯、二甲苯通过集气罩收集后</w:t>
            </w:r>
            <w:r>
              <w:rPr>
                <w:rFonts w:hint="default" w:ascii="Times New Roman" w:hAnsi="Times New Roman" w:eastAsia="宋体" w:cs="Times New Roman"/>
                <w:spacing w:val="-10"/>
                <w:sz w:val="24"/>
                <w:szCs w:val="24"/>
                <w:lang w:val="en-US" w:eastAsia="zh-CN"/>
              </w:rPr>
              <w:t>经过管道进入</w:t>
            </w:r>
            <w:r>
              <w:rPr>
                <w:rFonts w:hint="default" w:ascii="Times New Roman" w:hAnsi="Times New Roman" w:eastAsia="宋体" w:cs="Times New Roman"/>
                <w:spacing w:val="-11"/>
                <w:sz w:val="24"/>
                <w:szCs w:val="24"/>
                <w:lang w:val="en-US"/>
              </w:rPr>
              <w:t>UV光氧分解+活性炭吸附</w:t>
            </w:r>
            <w:r>
              <w:rPr>
                <w:rFonts w:hint="default" w:ascii="Times New Roman" w:hAnsi="Times New Roman" w:eastAsia="宋体" w:cs="Times New Roman"/>
                <w:spacing w:val="-11"/>
                <w:sz w:val="24"/>
                <w:szCs w:val="24"/>
                <w:lang w:val="en-US" w:eastAsia="zh-CN"/>
              </w:rPr>
              <w:t>设备处理后由1根15m高的排气筒DA001排放。</w:t>
            </w:r>
          </w:p>
          <w:p>
            <w:pPr>
              <w:keepNext w:val="0"/>
              <w:keepLines w:val="0"/>
              <w:pageBreakBefore w:val="0"/>
              <w:widowControl w:val="0"/>
              <w:kinsoku/>
              <w:wordWrap/>
              <w:overflowPunct/>
              <w:topLinePunct w:val="0"/>
              <w:bidi w:val="0"/>
              <w:ind w:leftChars="0"/>
              <w:rPr>
                <w:rFonts w:hint="default" w:ascii="Times New Roman" w:hAnsi="Times New Roman" w:eastAsia="宋体" w:cs="Times New Roman"/>
                <w:b/>
                <w:bCs/>
                <w:color w:val="000000"/>
                <w:lang w:val="en-US" w:eastAsia="zh-CN"/>
              </w:rPr>
            </w:pPr>
            <w:r>
              <w:rPr>
                <w:rFonts w:hint="default" w:ascii="Times New Roman" w:hAnsi="Times New Roman" w:eastAsia="宋体" w:cs="Times New Roman"/>
                <w:b/>
                <w:bCs/>
                <w:color w:val="000000"/>
                <w:lang w:val="en-US" w:eastAsia="zh-CN"/>
              </w:rPr>
              <w:t>（2）无组织废气</w:t>
            </w:r>
          </w:p>
          <w:p>
            <w:pPr>
              <w:pStyle w:val="6"/>
              <w:keepNext w:val="0"/>
              <w:keepLines w:val="0"/>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①粉尘</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sz w:val="24"/>
                <w:szCs w:val="24"/>
                <w:lang w:val="en-US" w:eastAsia="zh-CN"/>
              </w:rPr>
              <w:t>本项目玻璃在打孔，磨边过程会产生少量玻璃粉尘，主要污染物为颗粒物。由于磨边工序为湿法作业，加工过程产生的粉尘预计被冲洗水带走一部分，形成沉渣，剩余的逸散到车间空气中和打孔粉尘</w:t>
            </w:r>
            <w:r>
              <w:rPr>
                <w:rFonts w:hint="default" w:ascii="Times New Roman" w:hAnsi="Times New Roman" w:eastAsia="宋体" w:cs="Times New Roman"/>
                <w:b w:val="0"/>
                <w:bCs w:val="0"/>
                <w:kern w:val="2"/>
                <w:sz w:val="24"/>
                <w:szCs w:val="24"/>
                <w:lang w:val="en-US" w:eastAsia="zh-CN" w:bidi="ar-SA"/>
              </w:rPr>
              <w:t>，呈无组织排放。</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240" w:firstLineChars="100"/>
              <w:jc w:val="both"/>
              <w:textAlignment w:val="auto"/>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②非甲烷总烃、甲苯、二甲苯</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hint="default" w:ascii="Times New Roman" w:hAnsi="Times New Roman" w:eastAsia="宋体" w:cs="Times New Roman"/>
                <w:b w:val="0"/>
                <w:bCs w:val="0"/>
                <w:sz w:val="24"/>
                <w:szCs w:val="21"/>
                <w:lang w:val="en-US" w:eastAsia="zh-CN" w:bidi="zh-CN"/>
              </w:rPr>
            </w:pPr>
            <w:r>
              <w:rPr>
                <w:rFonts w:hint="default" w:ascii="Times New Roman" w:hAnsi="Times New Roman" w:eastAsia="宋体" w:cs="Times New Roman"/>
                <w:b w:val="0"/>
                <w:bCs w:val="0"/>
                <w:kern w:val="2"/>
                <w:sz w:val="24"/>
                <w:szCs w:val="24"/>
                <w:lang w:val="en-US" w:eastAsia="zh-CN" w:bidi="ar-SA"/>
              </w:rPr>
              <w:t>本项目</w:t>
            </w:r>
            <w:r>
              <w:rPr>
                <w:rFonts w:hint="default" w:ascii="Times New Roman" w:hAnsi="Times New Roman" w:eastAsia="宋体" w:cs="Times New Roman"/>
                <w:b w:val="0"/>
                <w:bCs w:val="0"/>
                <w:sz w:val="24"/>
                <w:szCs w:val="21"/>
                <w:lang w:val="en-US" w:eastAsia="zh-CN" w:bidi="zh-CN"/>
              </w:rPr>
              <w:t>未被集气罩收集的废气经过厂区内设置的排风扇，在生产车间内呈无组织形式排放。</w:t>
            </w:r>
          </w:p>
          <w:p>
            <w:pPr>
              <w:keepNext w:val="0"/>
              <w:keepLines w:val="0"/>
              <w:pageBreakBefore w:val="0"/>
              <w:widowControl w:val="0"/>
              <w:kinsoku/>
              <w:wordWrap/>
              <w:overflowPunct/>
              <w:topLinePunct w:val="0"/>
              <w:bidi w:val="0"/>
              <w:ind w:leftChars="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3、噪声</w:t>
            </w:r>
            <w:r>
              <w:rPr>
                <w:rFonts w:hint="default" w:ascii="Times New Roman" w:hAnsi="Times New Roman" w:eastAsia="宋体" w:cs="Times New Roman"/>
                <w:b/>
                <w:color w:val="auto"/>
                <w:sz w:val="24"/>
                <w:szCs w:val="24"/>
                <w:lang w:val="en-US" w:eastAsia="zh-CN"/>
              </w:rPr>
              <w:t>污染物处理和排放流程</w:t>
            </w:r>
          </w:p>
          <w:p>
            <w:pPr>
              <w:keepNext w:val="0"/>
              <w:keepLines w:val="0"/>
              <w:pageBreakBefore w:val="0"/>
              <w:widowControl w:val="0"/>
              <w:kinsoku/>
              <w:wordWrap/>
              <w:overflowPunct/>
              <w:topLinePunct w:val="0"/>
              <w:bidi w:val="0"/>
              <w:spacing w:line="360" w:lineRule="auto"/>
              <w:ind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t>项目噪声源强主要来源于加工机械，项目噪声污染源主要为</w:t>
            </w:r>
            <w:r>
              <w:rPr>
                <w:rFonts w:hint="default" w:ascii="Times New Roman" w:hAnsi="Times New Roman" w:eastAsia="宋体" w:cs="Times New Roman"/>
                <w:color w:val="auto"/>
                <w:lang w:val="en-US" w:eastAsia="zh-CN"/>
              </w:rPr>
              <w:t>空压机</w:t>
            </w:r>
            <w:r>
              <w:rPr>
                <w:rFonts w:hint="default" w:ascii="Times New Roman" w:hAnsi="Times New Roman" w:eastAsia="宋体" w:cs="Times New Roman"/>
                <w:color w:val="auto"/>
              </w:rPr>
              <w:t>等设备运转噪声运行产生的动力噪声和机械噪声，通过采用低噪声优质生产设备，并将产噪设备设置基础减震和安装于半封闭式生产车间内等措施进行防治，噪声通过厂房隔声、距离衰减等措施进行防治。</w:t>
            </w:r>
          </w:p>
          <w:p>
            <w:pPr>
              <w:keepNext w:val="0"/>
              <w:keepLines w:val="0"/>
              <w:pageBreakBefore w:val="0"/>
              <w:widowControl w:val="0"/>
              <w:numPr>
                <w:ilvl w:val="0"/>
                <w:numId w:val="6"/>
              </w:numPr>
              <w:kinsoku/>
              <w:wordWrap/>
              <w:overflowPunct/>
              <w:topLinePunct w:val="0"/>
              <w:bidi w:val="0"/>
              <w:spacing w:line="360" w:lineRule="auto"/>
              <w:ind w:leftChars="0" w:firstLine="573"/>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固体废物</w:t>
            </w:r>
            <w:r>
              <w:rPr>
                <w:rFonts w:hint="default" w:ascii="Times New Roman" w:hAnsi="Times New Roman" w:eastAsia="宋体" w:cs="Times New Roman"/>
                <w:b/>
                <w:bCs/>
                <w:color w:val="auto"/>
                <w:lang w:val="en-US" w:eastAsia="zh-CN"/>
              </w:rPr>
              <w:t>污染物处理</w:t>
            </w:r>
          </w:p>
          <w:p>
            <w:pPr>
              <w:keepNext w:val="0"/>
              <w:keepLines w:val="0"/>
              <w:pageBreakBefore w:val="0"/>
              <w:widowControl w:val="0"/>
              <w:kinsoku/>
              <w:wordWrap/>
              <w:overflowPunct/>
              <w:topLinePunct w:val="0"/>
              <w:bidi w:val="0"/>
              <w:spacing w:line="360" w:lineRule="auto"/>
              <w:ind w:lef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w:t>
            </w:r>
            <w:r>
              <w:rPr>
                <w:rFonts w:hint="default" w:ascii="Times New Roman" w:hAnsi="Times New Roman" w:eastAsia="宋体" w:cs="Times New Roman"/>
                <w:color w:val="auto"/>
                <w:sz w:val="24"/>
                <w:szCs w:val="24"/>
                <w:highlight w:val="none"/>
              </w:rPr>
              <w:t>项目运营期产生的固体废物主要为一般工业固废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sz w:val="24"/>
                <w:szCs w:val="24"/>
              </w:rPr>
              <w:t>危险固废</w:t>
            </w:r>
            <w:r>
              <w:rPr>
                <w:rFonts w:hint="default" w:ascii="Times New Roman" w:hAnsi="Times New Roman" w:eastAsia="宋体" w:cs="Times New Roman"/>
                <w:color w:val="auto"/>
                <w:sz w:val="24"/>
                <w:szCs w:val="24"/>
                <w:highlight w:val="none"/>
              </w:rPr>
              <w:t>。</w:t>
            </w:r>
          </w:p>
          <w:p>
            <w:pPr>
              <w:pStyle w:val="37"/>
              <w:keepNext w:val="0"/>
              <w:keepLines w:val="0"/>
              <w:pageBreakBefore w:val="0"/>
              <w:widowControl w:val="0"/>
              <w:numPr>
                <w:ilvl w:val="0"/>
                <w:numId w:val="0"/>
              </w:numPr>
              <w:kinsoku/>
              <w:wordWrap/>
              <w:overflowPunct/>
              <w:topLinePunct w:val="0"/>
              <w:bidi w:val="0"/>
              <w:ind w:lef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一般工业固废：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①生活垃圾</w:t>
            </w:r>
          </w:p>
          <w:p>
            <w:pPr>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color w:val="000000"/>
                <w:sz w:val="24"/>
                <w:szCs w:val="24"/>
              </w:rPr>
              <w:t>本项目产生的生活垃圾主要为职工生活垃圾</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sz w:val="24"/>
              </w:rPr>
              <w:t>交与云南鑫成鹏高分子科技有限公司一同委托环卫部门清运处置。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②餐饮垃圾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餐饮垃圾主要为食品加工过程中产生的边角余料及剩饭剩菜及其它废物，均属于</w:t>
            </w:r>
            <w:r>
              <w:rPr>
                <w:rFonts w:hint="default" w:ascii="Times New Roman" w:hAnsi="Times New Roman" w:eastAsia="宋体" w:cs="Times New Roman"/>
                <w:color w:val="000000"/>
                <w:sz w:val="24"/>
                <w:szCs w:val="24"/>
                <w:lang w:val="en-US" w:eastAsia="zh-CN"/>
              </w:rPr>
              <w:t>泔水</w:t>
            </w:r>
            <w:r>
              <w:rPr>
                <w:rFonts w:hint="default" w:ascii="Times New Roman" w:hAnsi="Times New Roman" w:eastAsia="宋体" w:cs="Times New Roman"/>
                <w:color w:val="000000"/>
                <w:sz w:val="24"/>
                <w:szCs w:val="24"/>
              </w:rPr>
              <w:t>，</w:t>
            </w:r>
            <w:r>
              <w:rPr>
                <w:rFonts w:hint="default" w:ascii="Times New Roman" w:hAnsi="Times New Roman" w:eastAsia="宋体" w:cs="Times New Roman"/>
                <w:sz w:val="24"/>
              </w:rPr>
              <w:t>交与云南鑫成鹏高分子科技有限公司一同委托环卫部门清运处置。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③化粪池污泥</w:t>
            </w:r>
          </w:p>
          <w:p>
            <w:pPr>
              <w:spacing w:line="360" w:lineRule="auto"/>
              <w:ind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本项目</w:t>
            </w:r>
            <w:r>
              <w:rPr>
                <w:rFonts w:hint="default" w:ascii="Times New Roman" w:hAnsi="Times New Roman" w:eastAsia="宋体" w:cs="Times New Roman"/>
                <w:sz w:val="24"/>
              </w:rPr>
              <w:t>依托云南鑫成鹏高分子科技有限公司的</w:t>
            </w:r>
            <w:r>
              <w:rPr>
                <w:rFonts w:hint="default" w:ascii="Times New Roman" w:hAnsi="Times New Roman" w:eastAsia="宋体" w:cs="Times New Roman"/>
                <w:sz w:val="24"/>
                <w:lang w:val="en-US" w:eastAsia="zh-CN"/>
              </w:rPr>
              <w:t>化粪池</w:t>
            </w:r>
            <w:r>
              <w:rPr>
                <w:rFonts w:hint="default" w:ascii="Times New Roman" w:hAnsi="Times New Roman" w:eastAsia="宋体" w:cs="Times New Roman"/>
                <w:sz w:val="24"/>
              </w:rPr>
              <w:t>，</w:t>
            </w:r>
            <w:r>
              <w:rPr>
                <w:rFonts w:hint="default" w:ascii="Times New Roman" w:hAnsi="Times New Roman" w:eastAsia="宋体" w:cs="Times New Roman"/>
                <w:color w:val="000000"/>
                <w:sz w:val="24"/>
                <w:szCs w:val="24"/>
              </w:rPr>
              <w:t>化粪池污泥</w:t>
            </w:r>
            <w:r>
              <w:rPr>
                <w:rFonts w:hint="default" w:ascii="Times New Roman" w:hAnsi="Times New Roman" w:eastAsia="宋体" w:cs="Times New Roman"/>
                <w:sz w:val="24"/>
              </w:rPr>
              <w:t>由云南鑫成鹏高分子科技有限公司定期委托环卫部门处置。</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4 \* GB3 \* MERGEFORMAT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④</w:t>
            </w:r>
            <w:r>
              <w:rPr>
                <w:rFonts w:hint="default" w:ascii="Times New Roman" w:hAnsi="Times New Roman" w:eastAsia="宋体" w:cs="Times New Roman"/>
                <w:color w:val="000000"/>
                <w:sz w:val="24"/>
                <w:szCs w:val="24"/>
              </w:rPr>
              <w:fldChar w:fldCharType="end"/>
            </w:r>
            <w:r>
              <w:rPr>
                <w:rFonts w:hint="eastAsia" w:cs="Times New Roman"/>
                <w:color w:val="000000"/>
                <w:sz w:val="24"/>
                <w:szCs w:val="24"/>
                <w:lang w:eastAsia="zh-CN"/>
              </w:rPr>
              <w:t>油水分离器</w:t>
            </w:r>
            <w:r>
              <w:rPr>
                <w:rFonts w:hint="default" w:ascii="Times New Roman" w:hAnsi="Times New Roman" w:eastAsia="宋体" w:cs="Times New Roman"/>
                <w:color w:val="000000"/>
                <w:sz w:val="24"/>
                <w:szCs w:val="24"/>
              </w:rPr>
              <w:t>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本项目</w:t>
            </w:r>
            <w:r>
              <w:rPr>
                <w:rFonts w:hint="default" w:ascii="Times New Roman" w:hAnsi="Times New Roman" w:eastAsia="宋体" w:cs="Times New Roman"/>
                <w:color w:val="000000"/>
                <w:sz w:val="24"/>
                <w:szCs w:val="24"/>
                <w:lang w:val="en-US" w:eastAsia="zh-CN"/>
              </w:rPr>
              <w:t>油水分离器的</w:t>
            </w:r>
            <w:r>
              <w:rPr>
                <w:rFonts w:hint="default" w:ascii="Times New Roman" w:hAnsi="Times New Roman" w:eastAsia="宋体" w:cs="Times New Roman"/>
                <w:color w:val="000000"/>
                <w:sz w:val="24"/>
                <w:szCs w:val="24"/>
              </w:rPr>
              <w:t>油污。</w:t>
            </w:r>
            <w:r>
              <w:rPr>
                <w:rFonts w:hint="default" w:ascii="Times New Roman" w:hAnsi="Times New Roman" w:eastAsia="宋体" w:cs="Times New Roman"/>
                <w:sz w:val="24"/>
              </w:rPr>
              <w:t>交与云南鑫成鹏高分子科技有限公司一同委托环卫部门清运处置。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5 \* GB3 \* MERGEFORMAT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⑤</w:t>
            </w:r>
            <w:r>
              <w:rPr>
                <w:rFonts w:hint="default" w:ascii="Times New Roman" w:hAnsi="Times New Roman" w:eastAsia="宋体" w:cs="Times New Roman"/>
                <w:color w:val="000000"/>
                <w:sz w:val="24"/>
                <w:szCs w:val="24"/>
              </w:rPr>
              <w:fldChar w:fldCharType="end"/>
            </w:r>
            <w:r>
              <w:rPr>
                <w:rFonts w:hint="default" w:ascii="Times New Roman" w:hAnsi="Times New Roman" w:eastAsia="宋体" w:cs="Times New Roman"/>
                <w:sz w:val="24"/>
                <w:szCs w:val="24"/>
              </w:rPr>
              <w:t>废玻璃</w:t>
            </w:r>
            <w:r>
              <w:rPr>
                <w:rFonts w:hint="default" w:ascii="Times New Roman" w:hAnsi="Times New Roman" w:eastAsia="宋体" w:cs="Times New Roman"/>
                <w:sz w:val="24"/>
                <w:szCs w:val="24"/>
                <w:lang w:val="en-US" w:eastAsia="zh-CN"/>
              </w:rPr>
              <w:t>边</w:t>
            </w:r>
            <w:r>
              <w:rPr>
                <w:rFonts w:hint="default" w:ascii="Times New Roman" w:hAnsi="Times New Roman" w:eastAsia="宋体" w:cs="Times New Roman"/>
                <w:sz w:val="24"/>
                <w:szCs w:val="24"/>
              </w:rPr>
              <w:t>角料</w:t>
            </w:r>
          </w:p>
          <w:p>
            <w:pPr>
              <w:tabs>
                <w:tab w:val="center" w:pos="4153"/>
                <w:tab w:val="right" w:pos="8306"/>
              </w:tabs>
              <w:snapToGrid w:val="0"/>
              <w:spacing w:line="360" w:lineRule="auto"/>
              <w:ind w:firstLine="424"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spacing w:val="-14"/>
                <w:sz w:val="24"/>
              </w:rPr>
              <w:t>则本项目</w:t>
            </w:r>
            <w:r>
              <w:rPr>
                <w:rFonts w:hint="default" w:ascii="Times New Roman" w:hAnsi="Times New Roman" w:eastAsia="宋体" w:cs="Times New Roman"/>
                <w:sz w:val="24"/>
              </w:rPr>
              <w:t>玻璃切割、磨边产生的废玻璃角料。</w:t>
            </w:r>
            <w:r>
              <w:rPr>
                <w:rFonts w:hint="default" w:ascii="Times New Roman" w:hAnsi="Times New Roman" w:eastAsia="宋体" w:cs="Times New Roman"/>
                <w:color w:val="000000"/>
                <w:sz w:val="24"/>
                <w:szCs w:val="24"/>
              </w:rPr>
              <w:t>收集后外售废品回收站。</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6 \* GB3 \* MERGEFORMAT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⑥</w:t>
            </w:r>
            <w:r>
              <w:rPr>
                <w:rFonts w:hint="default" w:ascii="Times New Roman" w:hAnsi="Times New Roman" w:eastAsia="宋体" w:cs="Times New Roman"/>
                <w:color w:val="000000"/>
                <w:sz w:val="24"/>
                <w:szCs w:val="24"/>
              </w:rPr>
              <w:fldChar w:fldCharType="end"/>
            </w:r>
            <w:r>
              <w:rPr>
                <w:rFonts w:hint="default" w:ascii="Times New Roman" w:hAnsi="Times New Roman" w:eastAsia="宋体" w:cs="Times New Roman"/>
                <w:color w:val="000000"/>
                <w:sz w:val="24"/>
                <w:szCs w:val="24"/>
              </w:rPr>
              <w:t>玻璃次品</w:t>
            </w:r>
          </w:p>
          <w:p>
            <w:pPr>
              <w:tabs>
                <w:tab w:val="center" w:pos="4153"/>
                <w:tab w:val="right" w:pos="8306"/>
              </w:tabs>
              <w:snapToGrid w:val="0"/>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color w:val="000000"/>
                <w:sz w:val="24"/>
                <w:szCs w:val="24"/>
              </w:rPr>
              <w:t>收集后外售废品回收站</w:t>
            </w:r>
            <w:r>
              <w:rPr>
                <w:rFonts w:hint="default" w:ascii="Times New Roman" w:hAnsi="Times New Roman" w:eastAsia="宋体" w:cs="Times New Roman"/>
                <w:color w:val="000000"/>
                <w:sz w:val="24"/>
                <w:szCs w:val="24"/>
                <w:lang w:eastAsia="zh-CN"/>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fldChar w:fldCharType="begin"/>
            </w:r>
            <w:r>
              <w:rPr>
                <w:rFonts w:hint="default" w:ascii="Times New Roman" w:hAnsi="Times New Roman" w:eastAsia="宋体" w:cs="Times New Roman"/>
                <w:color w:val="000000"/>
                <w:sz w:val="24"/>
                <w:szCs w:val="24"/>
                <w:lang w:val="en-US" w:eastAsia="zh-CN"/>
              </w:rPr>
              <w:instrText xml:space="preserve"> = 7 \* GB3 \* MERGEFORMAT </w:instrText>
            </w:r>
            <w:r>
              <w:rPr>
                <w:rFonts w:hint="default" w:ascii="Times New Roman" w:hAnsi="Times New Roman" w:eastAsia="宋体" w:cs="Times New Roman"/>
                <w:color w:val="000000"/>
                <w:sz w:val="24"/>
                <w:szCs w:val="24"/>
                <w:lang w:val="en-US" w:eastAsia="zh-CN"/>
              </w:rPr>
              <w:fldChar w:fldCharType="separate"/>
            </w:r>
            <w:r>
              <w:rPr>
                <w:rFonts w:hint="default" w:ascii="Times New Roman" w:hAnsi="Times New Roman" w:eastAsia="宋体" w:cs="Times New Roman"/>
                <w:color w:val="000000"/>
                <w:sz w:val="24"/>
                <w:szCs w:val="24"/>
              </w:rPr>
              <w:t>⑦</w:t>
            </w:r>
            <w:r>
              <w:rPr>
                <w:rFonts w:hint="default" w:ascii="Times New Roman" w:hAnsi="Times New Roman" w:eastAsia="宋体" w:cs="Times New Roman"/>
                <w:color w:val="000000"/>
                <w:sz w:val="24"/>
                <w:szCs w:val="24"/>
                <w:lang w:val="en-US" w:eastAsia="zh-CN"/>
              </w:rPr>
              <w:fldChar w:fldCharType="end"/>
            </w:r>
            <w:r>
              <w:rPr>
                <w:rFonts w:hint="default" w:ascii="Times New Roman" w:hAnsi="Times New Roman" w:eastAsia="宋体" w:cs="Times New Roman"/>
                <w:color w:val="000000"/>
                <w:sz w:val="24"/>
                <w:szCs w:val="24"/>
                <w:lang w:val="en-US" w:eastAsia="zh-CN"/>
              </w:rPr>
              <w:t>废</w:t>
            </w:r>
            <w:r>
              <w:rPr>
                <w:rFonts w:hint="default" w:ascii="Times New Roman" w:hAnsi="Times New Roman" w:eastAsia="宋体" w:cs="Times New Roman"/>
                <w:color w:val="000000"/>
                <w:sz w:val="24"/>
                <w:szCs w:val="24"/>
              </w:rPr>
              <w:t>包装固废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统一收集后</w:t>
            </w:r>
            <w:r>
              <w:rPr>
                <w:rFonts w:hint="default" w:ascii="Times New Roman" w:hAnsi="Times New Roman" w:eastAsia="宋体" w:cs="Times New Roman"/>
                <w:color w:val="000000"/>
                <w:sz w:val="24"/>
                <w:szCs w:val="24"/>
                <w:lang w:val="en-US" w:eastAsia="zh-CN"/>
              </w:rPr>
              <w:t>外</w:t>
            </w:r>
            <w:r>
              <w:rPr>
                <w:rFonts w:hint="default" w:ascii="Times New Roman" w:hAnsi="Times New Roman" w:eastAsia="宋体" w:cs="Times New Roman"/>
                <w:color w:val="000000"/>
                <w:sz w:val="24"/>
                <w:szCs w:val="24"/>
                <w:lang w:eastAsia="zh-CN"/>
              </w:rPr>
              <w:t>售废品回收站</w:t>
            </w:r>
            <w:r>
              <w:rPr>
                <w:rFonts w:hint="default" w:ascii="Times New Roman" w:hAnsi="Times New Roman" w:eastAsia="宋体" w:cs="Times New Roman"/>
                <w:color w:val="000000"/>
                <w:sz w:val="24"/>
                <w:szCs w:val="24"/>
              </w:rPr>
              <w:t>。</w:t>
            </w:r>
          </w:p>
          <w:p>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240" w:firstLineChars="10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2"/>
                <w:sz w:val="24"/>
                <w:szCs w:val="24"/>
                <w:lang w:val="en-US" w:eastAsia="zh-CN" w:bidi="ar-SA"/>
              </w:rPr>
              <w:fldChar w:fldCharType="begin"/>
            </w:r>
            <w:r>
              <w:rPr>
                <w:rFonts w:hint="default" w:ascii="Times New Roman" w:hAnsi="Times New Roman" w:eastAsia="宋体" w:cs="Times New Roman"/>
                <w:color w:val="000000"/>
                <w:kern w:val="2"/>
                <w:sz w:val="24"/>
                <w:szCs w:val="24"/>
                <w:lang w:val="en-US" w:eastAsia="zh-CN" w:bidi="ar-SA"/>
              </w:rPr>
              <w:instrText xml:space="preserve"> = 8 \* GB3 \* MERGEFORMAT </w:instrText>
            </w:r>
            <w:r>
              <w:rPr>
                <w:rFonts w:hint="default" w:ascii="Times New Roman" w:hAnsi="Times New Roman" w:eastAsia="宋体" w:cs="Times New Roman"/>
                <w:color w:val="000000"/>
                <w:kern w:val="2"/>
                <w:sz w:val="24"/>
                <w:szCs w:val="24"/>
                <w:lang w:val="en-US" w:eastAsia="zh-CN" w:bidi="ar-SA"/>
              </w:rPr>
              <w:fldChar w:fldCharType="separate"/>
            </w:r>
            <w:r>
              <w:rPr>
                <w:rFonts w:hint="default" w:ascii="Times New Roman" w:hAnsi="Times New Roman" w:eastAsia="宋体" w:cs="Times New Roman"/>
                <w:color w:val="000000"/>
                <w:kern w:val="2"/>
                <w:sz w:val="24"/>
                <w:szCs w:val="24"/>
                <w:lang w:val="en-US" w:eastAsia="zh-CN" w:bidi="ar-SA"/>
              </w:rPr>
              <w:t>⑧</w:t>
            </w:r>
            <w:r>
              <w:rPr>
                <w:rFonts w:hint="default" w:ascii="Times New Roman" w:hAnsi="Times New Roman" w:eastAsia="宋体" w:cs="Times New Roman"/>
                <w:color w:val="000000"/>
                <w:kern w:val="2"/>
                <w:sz w:val="24"/>
                <w:szCs w:val="24"/>
                <w:lang w:val="en-US" w:eastAsia="zh-CN" w:bidi="ar-SA"/>
              </w:rPr>
              <w:fldChar w:fldCharType="end"/>
            </w:r>
            <w:r>
              <w:rPr>
                <w:rFonts w:hint="default" w:ascii="Times New Roman" w:hAnsi="Times New Roman" w:eastAsia="宋体" w:cs="Times New Roman"/>
                <w:color w:val="000000"/>
                <w:sz w:val="24"/>
                <w:szCs w:val="24"/>
                <w:lang w:val="en-US" w:eastAsia="zh-CN"/>
              </w:rPr>
              <w:t>沉淀槽</w:t>
            </w:r>
            <w:r>
              <w:rPr>
                <w:rFonts w:hint="default" w:ascii="Times New Roman" w:hAnsi="Times New Roman" w:eastAsia="宋体" w:cs="Times New Roman"/>
                <w:sz w:val="24"/>
                <w:szCs w:val="24"/>
              </w:rPr>
              <w:t>收集的玻璃碎屑</w:t>
            </w:r>
          </w:p>
          <w:p>
            <w:pPr>
              <w:spacing w:line="360" w:lineRule="auto"/>
              <w:ind w:firstLine="480" w:firstLineChars="200"/>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color w:val="000000"/>
                <w:sz w:val="24"/>
                <w:szCs w:val="24"/>
              </w:rPr>
              <w:t>收集后外售废品回收站</w:t>
            </w:r>
            <w:r>
              <w:rPr>
                <w:rFonts w:hint="default" w:ascii="Times New Roman" w:hAnsi="Times New Roman" w:eastAsia="宋体" w:cs="Times New Roman"/>
                <w:color w:val="000000"/>
                <w:sz w:val="24"/>
                <w:szCs w:val="24"/>
                <w:lang w:eastAsia="zh-CN"/>
              </w:rPr>
              <w:t>。</w:t>
            </w:r>
          </w:p>
          <w:p>
            <w:p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fldChar w:fldCharType="begin"/>
            </w:r>
            <w:r>
              <w:rPr>
                <w:rFonts w:hint="default" w:ascii="Times New Roman" w:hAnsi="Times New Roman" w:eastAsia="宋体" w:cs="Times New Roman"/>
                <w:color w:val="000000"/>
                <w:sz w:val="24"/>
                <w:szCs w:val="24"/>
                <w:lang w:val="en-US" w:eastAsia="zh-CN"/>
              </w:rPr>
              <w:instrText xml:space="preserve"> = 9 \* GB3 \* MERGEFORMAT </w:instrText>
            </w:r>
            <w:r>
              <w:rPr>
                <w:rFonts w:hint="default" w:ascii="Times New Roman" w:hAnsi="Times New Roman" w:eastAsia="宋体" w:cs="Times New Roman"/>
                <w:color w:val="000000"/>
                <w:sz w:val="24"/>
                <w:szCs w:val="24"/>
                <w:lang w:val="en-US" w:eastAsia="zh-CN"/>
              </w:rPr>
              <w:fldChar w:fldCharType="separate"/>
            </w:r>
            <w:r>
              <w:rPr>
                <w:rFonts w:hint="default" w:ascii="Times New Roman" w:hAnsi="Times New Roman" w:eastAsia="宋体" w:cs="Times New Roman"/>
                <w:color w:val="000000"/>
                <w:sz w:val="24"/>
                <w:szCs w:val="24"/>
                <w:lang w:val="en-US" w:eastAsia="zh-CN"/>
              </w:rPr>
              <w:t>⑨</w:t>
            </w:r>
            <w:r>
              <w:rPr>
                <w:rFonts w:hint="default" w:ascii="Times New Roman" w:hAnsi="Times New Roman" w:eastAsia="宋体" w:cs="Times New Roman"/>
                <w:color w:val="000000"/>
                <w:sz w:val="24"/>
                <w:szCs w:val="24"/>
                <w:lang w:val="en-US" w:eastAsia="zh-CN"/>
              </w:rPr>
              <w:fldChar w:fldCharType="end"/>
            </w:r>
            <w:r>
              <w:rPr>
                <w:rFonts w:hint="default" w:ascii="Times New Roman" w:hAnsi="Times New Roman" w:eastAsia="宋体" w:cs="Times New Roman"/>
                <w:color w:val="000000"/>
                <w:sz w:val="24"/>
                <w:szCs w:val="24"/>
                <w:lang w:val="en-US" w:eastAsia="zh-CN"/>
              </w:rPr>
              <w:t>废密封胶桶</w:t>
            </w:r>
          </w:p>
          <w:p>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企业丁基胶、双组份中空玻璃硅酮胶等使用将产生一定量的废包装桶根据</w:t>
            </w:r>
            <w:r>
              <w:rPr>
                <w:rFonts w:hint="default" w:ascii="Times New Roman" w:hAnsi="Times New Roman" w:eastAsia="宋体" w:cs="Times New Roman"/>
                <w:color w:val="000000"/>
                <w:sz w:val="24"/>
              </w:rPr>
              <w:t>《国家危险废物名录》（2</w:t>
            </w:r>
            <w:r>
              <w:rPr>
                <w:rFonts w:hint="default" w:ascii="Times New Roman" w:hAnsi="Times New Roman" w:eastAsia="宋体" w:cs="Times New Roman"/>
                <w:color w:val="000000"/>
                <w:sz w:val="24"/>
                <w:lang w:val="en-US" w:eastAsia="zh-CN"/>
              </w:rPr>
              <w:t>0</w:t>
            </w:r>
            <w:r>
              <w:rPr>
                <w:rFonts w:hint="default" w:ascii="Times New Roman" w:hAnsi="Times New Roman" w:eastAsia="宋体" w:cs="Times New Roman"/>
                <w:color w:val="000000"/>
                <w:sz w:val="24"/>
              </w:rPr>
              <w:t>21版）</w:t>
            </w:r>
            <w:r>
              <w:rPr>
                <w:rFonts w:hint="default" w:ascii="Times New Roman" w:hAnsi="Times New Roman" w:eastAsia="宋体" w:cs="Times New Roman"/>
                <w:color w:val="000000"/>
                <w:sz w:val="24"/>
                <w:szCs w:val="24"/>
                <w:lang w:val="en-US" w:eastAsia="zh-CN"/>
              </w:rPr>
              <w:t>废密封胶桶属于豁免清单</w:t>
            </w:r>
            <w:r>
              <w:rPr>
                <w:rFonts w:hint="default" w:ascii="Times New Roman" w:hAnsi="Times New Roman" w:eastAsia="宋体" w:cs="Times New Roman"/>
                <w:sz w:val="24"/>
                <w:szCs w:val="24"/>
              </w:rPr>
              <w:t>，因此废包装桶属于一般固废，</w:t>
            </w:r>
            <w:r>
              <w:rPr>
                <w:rFonts w:hint="default" w:ascii="Times New Roman" w:hAnsi="Times New Roman" w:eastAsia="宋体" w:cs="Times New Roman"/>
                <w:sz w:val="24"/>
                <w:szCs w:val="24"/>
                <w:lang w:val="en-US" w:eastAsia="zh-CN"/>
              </w:rPr>
              <w:t>由厂家昆明博亚节能材料有限公司定期回收</w:t>
            </w:r>
            <w:r>
              <w:rPr>
                <w:rFonts w:hint="default" w:ascii="Times New Roman" w:hAnsi="Times New Roman" w:eastAsia="宋体" w:cs="Times New Roman"/>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2）危险废物</w:t>
            </w:r>
          </w:p>
          <w:p>
            <w:pPr>
              <w:pStyle w:val="14"/>
              <w:spacing w:line="360" w:lineRule="auto"/>
              <w:ind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color w:val="000000"/>
                <w:sz w:val="24"/>
                <w:szCs w:val="24"/>
              </w:rPr>
              <w:t>①废活性炭</w:t>
            </w:r>
          </w:p>
          <w:p>
            <w:pPr>
              <w:pStyle w:val="117"/>
              <w:ind w:firstLine="482"/>
              <w:rPr>
                <w:rFonts w:hint="default" w:ascii="Times New Roman" w:hAnsi="Times New Roman" w:eastAsia="宋体" w:cs="Times New Roman"/>
                <w:spacing w:val="-5"/>
                <w:kern w:val="0"/>
                <w:sz w:val="24"/>
              </w:rPr>
            </w:pPr>
            <w:r>
              <w:rPr>
                <w:rFonts w:hint="default" w:ascii="Times New Roman" w:hAnsi="Times New Roman" w:eastAsia="宋体" w:cs="Times New Roman"/>
                <w:color w:val="000000"/>
                <w:sz w:val="24"/>
              </w:rPr>
              <w:t>项目有机废气处理采用光氧催化设备+活性炭吸附设备工艺，活性炭需定期更换，</w:t>
            </w:r>
            <w:r>
              <w:rPr>
                <w:rFonts w:hint="default" w:ascii="Times New Roman" w:hAnsi="Times New Roman" w:eastAsia="宋体" w:cs="Times New Roman"/>
              </w:rPr>
              <w:t>定期委托</w:t>
            </w:r>
            <w:r>
              <w:rPr>
                <w:rFonts w:hint="default" w:ascii="Times New Roman" w:hAnsi="Times New Roman" w:cs="Times New Roman"/>
                <w:b w:val="0"/>
                <w:bCs w:val="0"/>
                <w:i w:val="0"/>
                <w:iCs w:val="0"/>
                <w:caps w:val="0"/>
                <w:spacing w:val="0"/>
                <w:sz w:val="24"/>
                <w:szCs w:val="21"/>
                <w:shd w:val="clear" w:color="auto" w:fill="auto"/>
                <w:lang w:eastAsia="zh-CN"/>
              </w:rPr>
              <w:t>有资质单位清运处置</w:t>
            </w:r>
            <w:r>
              <w:rPr>
                <w:rFonts w:hint="default" w:ascii="Times New Roman" w:hAnsi="Times New Roman" w:eastAsia="宋体" w:cs="Times New Roman"/>
              </w:rPr>
              <w:t>。</w:t>
            </w:r>
          </w:p>
          <w:p>
            <w:pPr>
              <w:spacing w:line="360" w:lineRule="auto"/>
              <w:ind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②废UV灯管</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定期由</w:t>
            </w:r>
            <w:r>
              <w:rPr>
                <w:rFonts w:hint="default" w:ascii="Times New Roman" w:hAnsi="Times New Roman" w:eastAsia="宋体" w:cs="Times New Roman"/>
                <w:sz w:val="24"/>
                <w:lang w:val="en-US" w:eastAsia="zh-CN"/>
              </w:rPr>
              <w:t>厂家更换，由厂家回收</w:t>
            </w:r>
            <w:r>
              <w:rPr>
                <w:rFonts w:hint="default" w:ascii="Times New Roman" w:hAnsi="Times New Roman" w:eastAsia="宋体" w:cs="Times New Roman"/>
                <w:sz w:val="24"/>
              </w:rPr>
              <w:t>。</w:t>
            </w:r>
          </w:p>
          <w:p>
            <w:pPr>
              <w:pStyle w:val="14"/>
              <w:spacing w:line="360" w:lineRule="auto"/>
              <w:ind w:firstLine="482" w:firstLineChars="20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rPr>
              <w:t>③</w:t>
            </w:r>
            <w:r>
              <w:rPr>
                <w:rFonts w:hint="default" w:ascii="Times New Roman" w:hAnsi="Times New Roman" w:eastAsia="宋体" w:cs="Times New Roman"/>
                <w:b/>
                <w:bCs/>
                <w:color w:val="000000"/>
                <w:sz w:val="24"/>
                <w:szCs w:val="24"/>
              </w:rPr>
              <w:t>废</w:t>
            </w:r>
            <w:r>
              <w:rPr>
                <w:rFonts w:hint="default" w:ascii="Times New Roman" w:hAnsi="Times New Roman" w:eastAsia="宋体" w:cs="Times New Roman"/>
                <w:b/>
                <w:bCs/>
                <w:color w:val="000000"/>
                <w:sz w:val="24"/>
                <w:szCs w:val="24"/>
                <w:lang w:val="en-US" w:eastAsia="zh-CN"/>
              </w:rPr>
              <w:t>润滑油</w:t>
            </w:r>
            <w:r>
              <w:rPr>
                <w:rFonts w:hint="default" w:ascii="Times New Roman" w:hAnsi="Times New Roman" w:eastAsia="宋体" w:cs="Times New Roman"/>
                <w:b/>
                <w:bCs/>
                <w:color w:val="000000"/>
                <w:sz w:val="24"/>
                <w:szCs w:val="24"/>
              </w:rPr>
              <w:t>、废</w:t>
            </w:r>
            <w:r>
              <w:rPr>
                <w:rFonts w:hint="default" w:ascii="Times New Roman" w:hAnsi="Times New Roman" w:eastAsia="宋体" w:cs="Times New Roman"/>
                <w:b/>
                <w:bCs/>
                <w:color w:val="000000"/>
                <w:sz w:val="24"/>
                <w:szCs w:val="24"/>
                <w:lang w:val="en-US" w:eastAsia="zh-CN"/>
              </w:rPr>
              <w:t>润滑油</w:t>
            </w:r>
            <w:r>
              <w:rPr>
                <w:rFonts w:hint="default" w:ascii="Times New Roman" w:hAnsi="Times New Roman" w:eastAsia="宋体" w:cs="Times New Roman"/>
                <w:b/>
                <w:bCs/>
                <w:color w:val="000000"/>
                <w:sz w:val="24"/>
                <w:szCs w:val="24"/>
              </w:rPr>
              <w:t>桶</w:t>
            </w:r>
            <w:r>
              <w:rPr>
                <w:rFonts w:hint="default" w:ascii="Times New Roman" w:hAnsi="Times New Roman" w:eastAsia="宋体" w:cs="Times New Roman"/>
                <w:b/>
                <w:bCs/>
                <w:color w:val="000000"/>
                <w:sz w:val="24"/>
                <w:szCs w:val="24"/>
                <w:lang w:eastAsia="zh-CN"/>
              </w:rPr>
              <w:t>、废含油手套</w:t>
            </w:r>
          </w:p>
          <w:p>
            <w:pPr>
              <w:bidi w:val="0"/>
              <w:rPr>
                <w:rFonts w:hint="default" w:ascii="Times New Roman" w:hAnsi="Times New Roman" w:eastAsia="宋体" w:cs="Times New Roman"/>
              </w:rPr>
            </w:pPr>
            <w:r>
              <w:rPr>
                <w:rFonts w:hint="default" w:ascii="Times New Roman" w:hAnsi="Times New Roman" w:eastAsia="宋体" w:cs="Times New Roman"/>
              </w:rPr>
              <w:t>采用收集桶统一收集后，送至暂存于危废暂存间，定期委托</w:t>
            </w:r>
            <w:r>
              <w:rPr>
                <w:rFonts w:hint="default" w:ascii="Times New Roman" w:hAnsi="Times New Roman" w:cs="Times New Roman"/>
                <w:b w:val="0"/>
                <w:bCs w:val="0"/>
                <w:i w:val="0"/>
                <w:iCs w:val="0"/>
                <w:caps w:val="0"/>
                <w:spacing w:val="0"/>
                <w:sz w:val="24"/>
                <w:szCs w:val="21"/>
                <w:shd w:val="clear" w:color="auto" w:fill="auto"/>
                <w:lang w:eastAsia="zh-CN"/>
              </w:rPr>
              <w:t>有资质单位清运处置</w:t>
            </w:r>
            <w:r>
              <w:rPr>
                <w:rFonts w:hint="default" w:ascii="Times New Roman" w:hAnsi="Times New Roman" w:eastAsia="宋体" w:cs="Times New Roman"/>
              </w:rPr>
              <w:t>。</w:t>
            </w:r>
          </w:p>
          <w:p>
            <w:pPr>
              <w:numPr>
                <w:ilvl w:val="0"/>
                <w:numId w:val="0"/>
              </w:numPr>
              <w:spacing w:line="360" w:lineRule="auto"/>
              <w:ind w:leftChars="0" w:firstLine="482" w:firstLineChars="200"/>
              <w:rPr>
                <w:rFonts w:hint="default" w:ascii="Times New Roman" w:hAnsi="Times New Roman" w:eastAsia="宋体" w:cs="Times New Roman"/>
                <w:b/>
                <w:bCs/>
                <w:color w:val="000000"/>
                <w:sz w:val="24"/>
                <w:lang w:val="en-US" w:eastAsia="zh-CN"/>
              </w:rPr>
            </w:pPr>
            <w:r>
              <w:rPr>
                <w:rFonts w:hint="eastAsia" w:ascii="Times New Roman" w:hAnsi="Times New Roman" w:cs="Times New Roman"/>
                <w:b/>
                <w:bCs/>
                <w:color w:val="000000"/>
                <w:sz w:val="24"/>
                <w:lang w:val="en-US" w:eastAsia="zh-CN"/>
              </w:rPr>
              <w:t>五</w:t>
            </w:r>
            <w:r>
              <w:rPr>
                <w:rFonts w:hint="default" w:ascii="Times New Roman" w:hAnsi="Times New Roman" w:eastAsia="宋体" w:cs="Times New Roman"/>
                <w:b/>
                <w:bCs/>
                <w:color w:val="000000"/>
                <w:sz w:val="24"/>
                <w:lang w:val="en-US" w:eastAsia="zh-CN"/>
              </w:rPr>
              <w:t>、原有项目遗留问题及整改措施</w:t>
            </w:r>
          </w:p>
          <w:p>
            <w:pPr>
              <w:pStyle w:val="14"/>
              <w:rPr>
                <w:rFonts w:hint="default" w:ascii="Times New Roman" w:hAnsi="Times New Roman" w:cs="Times New Roman"/>
                <w:lang w:val="en-US" w:eastAsia="zh-CN"/>
              </w:rPr>
            </w:pPr>
            <w:r>
              <w:rPr>
                <w:rFonts w:hint="default" w:ascii="Times New Roman" w:hAnsi="Times New Roman" w:cs="Times New Roman"/>
                <w:lang w:val="en-US" w:eastAsia="zh-CN"/>
              </w:rPr>
              <w:t>根据现场踏勘，目前除保留原项目两条中空玻璃生产线外，其他均已清理完毕，不存在原有环境问题。</w:t>
            </w:r>
          </w:p>
          <w:p>
            <w:pPr>
              <w:numPr>
                <w:ilvl w:val="0"/>
                <w:numId w:val="7"/>
              </w:numPr>
              <w:rPr>
                <w:rFonts w:hint="default"/>
                <w:b/>
                <w:bCs/>
                <w:lang w:val="en-US" w:eastAsia="zh-CN"/>
              </w:rPr>
            </w:pPr>
            <w:r>
              <w:rPr>
                <w:rFonts w:hint="default"/>
                <w:b/>
                <w:bCs/>
                <w:lang w:val="en-US" w:eastAsia="zh-CN"/>
              </w:rPr>
              <w:t>以新带老措施</w:t>
            </w:r>
          </w:p>
          <w:p>
            <w:pPr>
              <w:numPr>
                <w:ilvl w:val="0"/>
                <w:numId w:val="0"/>
              </w:numPr>
              <w:ind w:firstLine="480" w:firstLineChars="200"/>
              <w:rPr>
                <w:rFonts w:hint="default"/>
                <w:lang w:val="en-US" w:eastAsia="zh-CN"/>
              </w:rPr>
            </w:pPr>
            <w:r>
              <w:rPr>
                <w:rFonts w:hint="default"/>
                <w:lang w:val="en-US" w:eastAsia="zh-CN"/>
              </w:rPr>
              <w:t>为保证原项目及本次改扩建后生产过程中环保设施能符合现行环保要求，本环评提出：</w:t>
            </w:r>
          </w:p>
          <w:p>
            <w:pPr>
              <w:numPr>
                <w:ilvl w:val="0"/>
                <w:numId w:val="0"/>
              </w:numPr>
              <w:ind w:firstLine="480" w:firstLineChars="200"/>
              <w:rPr>
                <w:rFonts w:hint="default"/>
                <w:lang w:val="en-US" w:eastAsia="zh-CN"/>
              </w:rPr>
            </w:pPr>
            <w:r>
              <w:rPr>
                <w:rFonts w:hint="default"/>
                <w:lang w:val="en-US" w:eastAsia="zh-CN"/>
              </w:rPr>
              <w:t>①</w:t>
            </w:r>
            <w:r>
              <w:rPr>
                <w:rFonts w:hint="default" w:ascii="Times New Roman" w:hAnsi="Times New Roman" w:cs="Times New Roman"/>
                <w:b w:val="0"/>
                <w:bCs/>
              </w:rPr>
              <w:t>集气罩（</w:t>
            </w:r>
            <w:r>
              <w:rPr>
                <w:rFonts w:hint="default" w:ascii="Times New Roman" w:hAnsi="Times New Roman" w:cs="Times New Roman"/>
                <w:b w:val="0"/>
                <w:bCs/>
                <w:lang w:val="en-US" w:eastAsia="zh-CN"/>
              </w:rPr>
              <w:t>14</w:t>
            </w:r>
            <w:r>
              <w:rPr>
                <w:rFonts w:hint="default" w:ascii="Times New Roman" w:hAnsi="Times New Roman" w:cs="Times New Roman"/>
                <w:b w:val="0"/>
                <w:bCs/>
              </w:rPr>
              <w:t>个）+</w:t>
            </w:r>
            <w:r>
              <w:rPr>
                <w:rFonts w:hint="eastAsia" w:ascii="Times New Roman" w:hAnsi="Times New Roman" w:cs="Times New Roman"/>
                <w:b w:val="0"/>
                <w:bCs/>
                <w:lang w:val="en-US" w:eastAsia="zh-CN"/>
              </w:rPr>
              <w:t>二级</w:t>
            </w:r>
            <w:r>
              <w:rPr>
                <w:rFonts w:hint="default" w:ascii="Times New Roman" w:hAnsi="Times New Roman" w:cs="Times New Roman"/>
                <w:b w:val="0"/>
                <w:bCs/>
              </w:rPr>
              <w:t>活性炭吸附设备</w:t>
            </w:r>
            <w:r>
              <w:rPr>
                <w:rFonts w:hint="default"/>
                <w:lang w:val="en-US" w:eastAsia="zh-CN"/>
              </w:rPr>
              <w:t>，配套风机风量为</w:t>
            </w:r>
            <w:r>
              <w:rPr>
                <w:rFonts w:hint="eastAsia"/>
                <w:lang w:val="en-US" w:eastAsia="zh-CN"/>
              </w:rPr>
              <w:t>20</w:t>
            </w:r>
            <w:r>
              <w:rPr>
                <w:rFonts w:hint="default"/>
                <w:lang w:val="en-US" w:eastAsia="zh-CN"/>
              </w:rPr>
              <w:t>000m</w:t>
            </w:r>
            <w:r>
              <w:rPr>
                <w:rFonts w:hint="default"/>
                <w:vertAlign w:val="superscript"/>
                <w:lang w:val="en-US" w:eastAsia="zh-CN"/>
              </w:rPr>
              <w:t>3</w:t>
            </w:r>
            <w:r>
              <w:rPr>
                <w:rFonts w:hint="default"/>
                <w:lang w:val="en-US" w:eastAsia="zh-CN"/>
              </w:rPr>
              <w:t>/h，废气经处理后通过1根</w:t>
            </w:r>
            <w:r>
              <w:rPr>
                <w:rFonts w:hint="eastAsia"/>
                <w:lang w:val="en-US" w:eastAsia="zh-CN"/>
              </w:rPr>
              <w:t>15</w:t>
            </w:r>
            <w:r>
              <w:rPr>
                <w:rFonts w:hint="default"/>
                <w:lang w:val="en-US" w:eastAsia="zh-CN"/>
              </w:rPr>
              <w:t>m高排气筒（1#）排放。以上以新带老措施需纳入“三同时”，在扩建过程中落实，并在申请环境保护竣工验收之前完成并投入使用。</w:t>
            </w:r>
          </w:p>
          <w:p>
            <w:pPr>
              <w:numPr>
                <w:ilvl w:val="0"/>
                <w:numId w:val="7"/>
              </w:numPr>
              <w:bidi w:val="0"/>
              <w:ind w:left="0" w:leftChars="0" w:firstLine="482" w:firstLineChars="200"/>
              <w:rPr>
                <w:rFonts w:hint="default" w:ascii="Times New Roman" w:hAnsi="Times New Roman" w:cs="Times New Roman"/>
                <w:b/>
                <w:bCs/>
              </w:rPr>
            </w:pPr>
            <w:r>
              <w:rPr>
                <w:rFonts w:hint="default" w:ascii="Times New Roman" w:hAnsi="Times New Roman" w:cs="Times New Roman"/>
                <w:b/>
                <w:bCs/>
              </w:rPr>
              <w:t>云南鑫成鹏高分子科技有限公司情况</w:t>
            </w:r>
          </w:p>
          <w:p>
            <w:pPr>
              <w:numPr>
                <w:ilvl w:val="0"/>
                <w:numId w:val="0"/>
              </w:numPr>
              <w:bidi w:val="0"/>
              <w:ind w:left="0" w:leftChars="0" w:firstLine="480" w:firstLineChars="200"/>
              <w:rPr>
                <w:rFonts w:hint="default" w:ascii="Times New Roman" w:hAnsi="Times New Roman" w:cs="Times New Roman"/>
                <w:b/>
                <w:bCs/>
              </w:rPr>
            </w:pPr>
            <w:r>
              <w:rPr>
                <w:rFonts w:hint="eastAsia" w:cs="Times New Roman"/>
                <w:lang w:val="en-US" w:eastAsia="zh-CN"/>
              </w:rPr>
              <w:t>1、</w:t>
            </w:r>
            <w:r>
              <w:rPr>
                <w:rFonts w:hint="default" w:ascii="Times New Roman" w:hAnsi="Times New Roman" w:cs="Times New Roman"/>
                <w:b/>
                <w:bCs/>
              </w:rPr>
              <w:t>云南鑫成鹏高分子科技有限公司情况简介、环保手续以及产排污和治理措施情况</w:t>
            </w:r>
          </w:p>
          <w:p>
            <w:pPr>
              <w:bidi w:val="0"/>
              <w:rPr>
                <w:rFonts w:hint="default" w:ascii="Times New Roman" w:hAnsi="Times New Roman" w:cs="Times New Roman"/>
                <w:sz w:val="24"/>
                <w:szCs w:val="24"/>
              </w:rPr>
            </w:pPr>
            <w:r>
              <w:rPr>
                <w:rFonts w:hint="default" w:ascii="Times New Roman" w:hAnsi="Times New Roman" w:cs="Times New Roman"/>
              </w:rPr>
              <w:t>云南鑫成鹏高分子科技有限公司位于云南省玉溪市澄江市龙街街道办事处提古社区提古一组，建设了“生产电线电缆光缆绝缘材料项目”，2019年8月22日取得玉溪市生态环境局澄江分局关于《云南鑫成鹏高分子科技有限公司生产电线电缆光缆绝缘材料项目环境影响报告表》</w:t>
            </w:r>
            <w:r>
              <w:rPr>
                <w:rFonts w:hint="default" w:ascii="Times New Roman" w:hAnsi="Times New Roman" w:cs="Times New Roman"/>
                <w:spacing w:val="-1"/>
                <w:szCs w:val="24"/>
              </w:rPr>
              <w:t>的批复澄环审【</w:t>
            </w:r>
            <w:r>
              <w:rPr>
                <w:rFonts w:hint="default" w:ascii="Times New Roman" w:hAnsi="Times New Roman" w:eastAsia="Times New Roman" w:cs="Times New Roman"/>
                <w:spacing w:val="-1"/>
                <w:szCs w:val="24"/>
              </w:rPr>
              <w:t>2019</w:t>
            </w:r>
            <w:r>
              <w:rPr>
                <w:rFonts w:hint="default" w:ascii="Times New Roman" w:hAnsi="Times New Roman" w:cs="Times New Roman"/>
                <w:spacing w:val="-1"/>
                <w:szCs w:val="24"/>
              </w:rPr>
              <w:t>】</w:t>
            </w:r>
            <w:r>
              <w:rPr>
                <w:rFonts w:hint="default" w:ascii="Times New Roman" w:hAnsi="Times New Roman" w:eastAsia="Times New Roman" w:cs="Times New Roman"/>
                <w:spacing w:val="-1"/>
                <w:szCs w:val="24"/>
              </w:rPr>
              <w:t>5</w:t>
            </w:r>
            <w:r>
              <w:rPr>
                <w:rFonts w:hint="default" w:ascii="Times New Roman" w:hAnsi="Times New Roman" w:cs="Times New Roman"/>
                <w:spacing w:val="-1"/>
                <w:szCs w:val="24"/>
              </w:rPr>
              <w:t>号（见附件</w:t>
            </w:r>
            <w:r>
              <w:rPr>
                <w:rFonts w:hint="default" w:ascii="Times New Roman" w:hAnsi="Times New Roman" w:eastAsia="Times New Roman" w:cs="Times New Roman"/>
                <w:spacing w:val="-2"/>
                <w:sz w:val="24"/>
                <w:szCs w:val="24"/>
              </w:rPr>
              <w:t>5</w:t>
            </w:r>
            <w:r>
              <w:rPr>
                <w:rFonts w:hint="default" w:ascii="Times New Roman" w:hAnsi="Times New Roman" w:cs="Times New Roman"/>
                <w:spacing w:val="-2"/>
                <w:sz w:val="24"/>
                <w:szCs w:val="24"/>
              </w:rPr>
              <w:t>）。目前云南鑫成鹏高分子科技有限公司还未开展竣工验收，正在进行中。</w:t>
            </w:r>
          </w:p>
          <w:p>
            <w:pPr>
              <w:bidi w:val="0"/>
              <w:rPr>
                <w:rFonts w:hint="default" w:ascii="Times New Roman" w:hAnsi="Times New Roman" w:cs="Times New Roman"/>
              </w:rPr>
            </w:pPr>
            <w:r>
              <w:rPr>
                <w:rFonts w:hint="default" w:ascii="Times New Roman" w:hAnsi="Times New Roman" w:cs="Times New Roman"/>
              </w:rPr>
              <w:t>根据云南鑫成鹏高分子科技有限公司的环评报告以及环评批复，云南鑫成鹏高分子科技有限公司的主要产品为环保型聚氯乙烯电缆绝缘材料、热塑性无卤低烟阻燃绝缘材料、10kv及以下交联聚乙烯电缆用硅烷交联聚乙烯绝缘材料、35kv及以下交联聚乙烯电线电缆用可交联聚乙烯绝缘材料、10kv及以下交联聚乙烯电缆用化学交联聚乙烯绝缘材料，后年产电线、电缆、光缆等绝缘材料65000吨，其中主要原辅料为聚氯乙烯树脂、对苯二甲酸二、辛酯、碳酸钙、环氧大豆油、高岭土、环保稳定剂、聚乙烯蜡、硬脂酸、保型颜料、线性低密度聚、乙烯树脂、低密度聚乙烯、树脂、聚丙烯树脂、抗氧剂D-80、硅烷偶联剂、有机锡、炭黑母料、过氧化二异丙、苯、抗氧剂1050、乙烯一醋酸乙、烯共聚物茂金属聚乙烯、氢氧化铝、相容剂、乙撑双硬脂酰、胺、硅酮加工助剂、碳酸钙、炭黑母料等。</w:t>
            </w:r>
          </w:p>
          <w:p>
            <w:pPr>
              <w:bidi w:val="0"/>
              <w:rPr>
                <w:rFonts w:hint="default" w:ascii="Times New Roman" w:hAnsi="Times New Roman" w:cs="Times New Roman"/>
              </w:rPr>
            </w:pPr>
            <w:r>
              <w:rPr>
                <w:rFonts w:hint="default" w:ascii="Times New Roman" w:hAnsi="Times New Roman" w:cs="Times New Roman"/>
              </w:rPr>
              <w:t>1、其中主要废气来自于：原辅料为粉末状和颗粒状，在混合搅拌时会产生一定量的颗粒物，聚氯乙烯、聚乙烯、聚丙烯等新料熔融挤出工段产生的非甲烷总烃、氯化氢。</w:t>
            </w:r>
          </w:p>
          <w:p>
            <w:pPr>
              <w:bidi w:val="0"/>
              <w:rPr>
                <w:rFonts w:hint="default" w:ascii="Times New Roman" w:hAnsi="Times New Roman" w:cs="Times New Roman"/>
              </w:rPr>
            </w:pPr>
            <w:r>
              <w:rPr>
                <w:rFonts w:hint="default" w:ascii="Times New Roman" w:hAnsi="Times New Roman" w:cs="Times New Roman"/>
              </w:rPr>
              <w:t>（1）颗粒物</w:t>
            </w:r>
          </w:p>
          <w:p>
            <w:pPr>
              <w:bidi w:val="0"/>
              <w:rPr>
                <w:rFonts w:hint="default" w:ascii="Times New Roman" w:hAnsi="Times New Roman" w:cs="Times New Roman"/>
              </w:rPr>
            </w:pPr>
            <w:r>
              <w:rPr>
                <w:rFonts w:hint="default" w:ascii="Times New Roman" w:hAnsi="Times New Roman" w:cs="Times New Roman"/>
              </w:rPr>
              <w:t>原料混合搅拌产生的颗粒物经集气罩收集后经过布袋除尘器处理后通过15m高排气筒排放。</w:t>
            </w:r>
          </w:p>
          <w:p>
            <w:pPr>
              <w:bidi w:val="0"/>
              <w:rPr>
                <w:rFonts w:hint="default" w:ascii="Times New Roman" w:hAnsi="Times New Roman" w:cs="Times New Roman"/>
              </w:rPr>
            </w:pPr>
            <w:r>
              <w:rPr>
                <w:rFonts w:hint="default" w:ascii="Times New Roman" w:hAnsi="Times New Roman" w:cs="Times New Roman"/>
              </w:rPr>
              <w:t>（2）非甲烷总烃、氯化氢</w:t>
            </w:r>
          </w:p>
          <w:p>
            <w:pPr>
              <w:bidi w:val="0"/>
              <w:rPr>
                <w:rFonts w:hint="default" w:ascii="Times New Roman" w:hAnsi="Times New Roman" w:cs="Times New Roman"/>
              </w:rPr>
            </w:pPr>
            <w:r>
              <w:rPr>
                <w:rFonts w:hint="default" w:ascii="Times New Roman" w:hAnsi="Times New Roman" w:cs="Times New Roman"/>
              </w:rPr>
              <w:t>非甲烷总烃、氯化氢经过UV光解+活性炭吸附设备处理后通过15m高排气筒排放。</w:t>
            </w:r>
          </w:p>
          <w:p>
            <w:pPr>
              <w:bidi w:val="0"/>
              <w:rPr>
                <w:rFonts w:hint="default" w:ascii="Times New Roman" w:hAnsi="Times New Roman" w:cs="Times New Roman"/>
              </w:rPr>
            </w:pPr>
            <w:r>
              <w:rPr>
                <w:rFonts w:hint="default" w:ascii="Times New Roman" w:hAnsi="Times New Roman" w:cs="Times New Roman"/>
              </w:rPr>
              <w:t>2、其中主要废水来自于：冷却水、生活污水。</w:t>
            </w:r>
          </w:p>
          <w:p>
            <w:pPr>
              <w:bidi w:val="0"/>
              <w:rPr>
                <w:rFonts w:hint="default" w:ascii="Times New Roman" w:hAnsi="Times New Roman" w:cs="Times New Roman"/>
              </w:rPr>
            </w:pPr>
            <w:r>
              <w:rPr>
                <w:rFonts w:hint="default" w:ascii="Times New Roman" w:hAnsi="Times New Roman" w:cs="Times New Roman"/>
              </w:rPr>
              <w:t>（1）生产废水：冷却水经冷却循环池冷却后回用于生产不外排。</w:t>
            </w:r>
          </w:p>
          <w:p>
            <w:pPr>
              <w:bidi w:val="0"/>
              <w:rPr>
                <w:rFonts w:hint="default" w:ascii="Times New Roman" w:hAnsi="Times New Roman" w:cs="Times New Roman"/>
              </w:rPr>
            </w:pPr>
            <w:r>
              <w:rPr>
                <w:rFonts w:hint="default" w:ascii="Times New Roman" w:hAnsi="Times New Roman" w:cs="Times New Roman"/>
              </w:rPr>
              <w:t>（2）生活污水：近期食堂废水经</w:t>
            </w:r>
            <w:r>
              <w:rPr>
                <w:rFonts w:hint="eastAsia" w:cs="Times New Roman"/>
                <w:lang w:eastAsia="zh-CN"/>
              </w:rPr>
              <w:t>油水分离器</w:t>
            </w:r>
            <w:r>
              <w:rPr>
                <w:rFonts w:hint="default" w:ascii="Times New Roman" w:hAnsi="Times New Roman" w:cs="Times New Roman"/>
              </w:rPr>
              <w:t>处理后与其他生活污水一起经化粪池处理后，最终进入自建的一体化污水处理设施处理达标后晴天回用于绿化及道路洒水降尘，不外排，雨天暂存于回用水池。远期生活含油污水经</w:t>
            </w:r>
            <w:r>
              <w:rPr>
                <w:rFonts w:hint="eastAsia" w:cs="Times New Roman"/>
                <w:lang w:eastAsia="zh-CN"/>
              </w:rPr>
              <w:t>油水分离器</w:t>
            </w:r>
            <w:r>
              <w:rPr>
                <w:rFonts w:hint="default" w:ascii="Times New Roman" w:hAnsi="Times New Roman" w:cs="Times New Roman"/>
              </w:rPr>
              <w:t>、化粪池处理后达《污水排入城镇下水道水质标准》（GB/T31962—2015）B级标准及《污水综合排放标准》（GB8978-1996）中三级标准后，外排至园区污水管网，最终汇入园区水处理厂终处理。</w:t>
            </w:r>
          </w:p>
          <w:p>
            <w:pPr>
              <w:bidi w:val="0"/>
              <w:rPr>
                <w:rFonts w:hint="default" w:ascii="Times New Roman" w:hAnsi="Times New Roman" w:cs="Times New Roman"/>
              </w:rPr>
            </w:pPr>
            <w:r>
              <w:rPr>
                <w:rFonts w:hint="default" w:ascii="Times New Roman" w:hAnsi="Times New Roman" w:cs="Times New Roman"/>
              </w:rPr>
              <w:t>3、其中主要固废来自于：废机油、废环氧大豆油桶、废活性炭、生活垃圾、一体化污水处理设施的污泥、化粪池污泥、废边角料、废包装袋。</w:t>
            </w:r>
          </w:p>
          <w:p>
            <w:pPr>
              <w:bidi w:val="0"/>
              <w:rPr>
                <w:rFonts w:hint="default" w:ascii="Times New Roman" w:hAnsi="Times New Roman" w:cs="Times New Roman"/>
              </w:rPr>
            </w:pPr>
            <w:r>
              <w:rPr>
                <w:rFonts w:hint="default" w:ascii="Times New Roman" w:hAnsi="Times New Roman" w:cs="Times New Roman"/>
              </w:rPr>
              <w:t>（1）一般固废：废边角料作为原料回用于生产，包装材料统一收集后售卖、一体化污水处理设施的污泥、化粪池污泥委托当地环卫部门清运处理。</w:t>
            </w:r>
          </w:p>
          <w:p>
            <w:pPr>
              <w:bidi w:val="0"/>
              <w:rPr>
                <w:rFonts w:hint="default" w:ascii="Times New Roman" w:hAnsi="Times New Roman" w:cs="Times New Roman"/>
              </w:rPr>
            </w:pPr>
            <w:r>
              <w:rPr>
                <w:rFonts w:hint="default" w:ascii="Times New Roman" w:hAnsi="Times New Roman" w:cs="Times New Roman"/>
              </w:rPr>
              <w:t>生活垃圾：办公生活垃圾应分类收集，能回收利用的统一收集后进行回收处理，不能回收的统一收集后委托当地环卫部门清运处理。</w:t>
            </w:r>
          </w:p>
          <w:p>
            <w:pPr>
              <w:bidi w:val="0"/>
              <w:rPr>
                <w:rFonts w:hint="default" w:ascii="Times New Roman" w:hAnsi="Times New Roman" w:cs="Times New Roman"/>
              </w:rPr>
            </w:pPr>
            <w:r>
              <w:rPr>
                <w:rFonts w:hint="default" w:ascii="Times New Roman" w:hAnsi="Times New Roman" w:cs="Times New Roman"/>
              </w:rPr>
              <w:t>（2）危险固废：废机油、废环氧大豆油桶、废活性炭统一收集后放置在危废收集间内，定期交有资质的单位回收处理；生活垃圾由环卫部门统一收集处置；化粪池污泥定期请环卫部门清运。项目各类固体废弃物均能做到合理处置，不外排，故项目运行过程中，固体废弃物对环境影响不大。</w:t>
            </w:r>
          </w:p>
          <w:p>
            <w:pPr>
              <w:bidi w:val="0"/>
              <w:rPr>
                <w:rFonts w:hint="default" w:ascii="Times New Roman" w:hAnsi="Times New Roman" w:cs="Times New Roman"/>
                <w:b/>
                <w:bCs/>
              </w:rPr>
            </w:pPr>
            <w:r>
              <w:rPr>
                <w:rFonts w:hint="eastAsia" w:cs="Times New Roman"/>
                <w:b/>
                <w:bCs/>
                <w:lang w:val="en-US" w:eastAsia="zh-CN"/>
              </w:rPr>
              <w:t>2、</w:t>
            </w:r>
            <w:r>
              <w:rPr>
                <w:rFonts w:hint="default" w:ascii="Times New Roman" w:hAnsi="Times New Roman" w:cs="Times New Roman"/>
                <w:b/>
                <w:bCs/>
              </w:rPr>
              <w:t>企业入驻情况</w:t>
            </w:r>
          </w:p>
          <w:p>
            <w:pPr>
              <w:pStyle w:val="114"/>
              <w:keepNext w:val="0"/>
              <w:keepLines w:val="0"/>
              <w:pageBreakBefore w:val="0"/>
              <w:widowControl w:val="0"/>
              <w:kinsoku/>
              <w:wordWrap/>
              <w:overflowPunct/>
              <w:topLinePunct w:val="0"/>
              <w:autoSpaceDE/>
              <w:autoSpaceDN/>
              <w:bidi w:val="0"/>
              <w:adjustRightInd/>
              <w:snapToGrid/>
              <w:spacing w:line="360" w:lineRule="auto"/>
              <w:ind w:left="0" w:right="0" w:firstLine="486"/>
              <w:jc w:val="both"/>
              <w:textAlignment w:val="auto"/>
              <w:rPr>
                <w:rFonts w:hint="default" w:ascii="Times New Roman" w:hAnsi="Times New Roman" w:cs="Times New Roman"/>
                <w:sz w:val="24"/>
                <w:szCs w:val="24"/>
              </w:rPr>
            </w:pPr>
            <w:r>
              <w:rPr>
                <w:rFonts w:hint="default" w:ascii="Times New Roman" w:hAnsi="Times New Roman" w:cs="Times New Roman"/>
                <w:spacing w:val="-3"/>
                <w:sz w:val="24"/>
                <w:szCs w:val="24"/>
              </w:rPr>
              <w:t>云南鑫成鹏高分子科技有限公司共建设</w:t>
            </w:r>
            <w:r>
              <w:rPr>
                <w:rFonts w:hint="default" w:ascii="Times New Roman" w:hAnsi="Times New Roman" w:eastAsia="Times New Roman" w:cs="Times New Roman"/>
                <w:spacing w:val="-3"/>
                <w:sz w:val="24"/>
                <w:szCs w:val="24"/>
              </w:rPr>
              <w:t>1</w:t>
            </w:r>
            <w:r>
              <w:rPr>
                <w:rFonts w:hint="default" w:ascii="Times New Roman" w:hAnsi="Times New Roman" w:cs="Times New Roman"/>
                <w:spacing w:val="-3"/>
                <w:sz w:val="24"/>
                <w:szCs w:val="24"/>
              </w:rPr>
              <w:t>、</w:t>
            </w:r>
            <w:r>
              <w:rPr>
                <w:rFonts w:hint="default" w:ascii="Times New Roman" w:hAnsi="Times New Roman" w:eastAsia="Times New Roman" w:cs="Times New Roman"/>
                <w:spacing w:val="-3"/>
                <w:sz w:val="24"/>
                <w:szCs w:val="24"/>
              </w:rPr>
              <w:t>2</w:t>
            </w:r>
            <w:r>
              <w:rPr>
                <w:rFonts w:hint="default" w:ascii="Times New Roman" w:hAnsi="Times New Roman" w:cs="Times New Roman"/>
                <w:spacing w:val="-3"/>
                <w:sz w:val="24"/>
                <w:szCs w:val="24"/>
              </w:rPr>
              <w:t>、</w:t>
            </w:r>
            <w:r>
              <w:rPr>
                <w:rFonts w:hint="default" w:ascii="Times New Roman" w:hAnsi="Times New Roman" w:eastAsia="Times New Roman" w:cs="Times New Roman"/>
                <w:spacing w:val="-3"/>
                <w:sz w:val="24"/>
                <w:szCs w:val="24"/>
              </w:rPr>
              <w:t>3</w:t>
            </w:r>
            <w:r>
              <w:rPr>
                <w:rFonts w:hint="default" w:ascii="Times New Roman" w:hAnsi="Times New Roman" w:cs="Times New Roman"/>
                <w:spacing w:val="-3"/>
                <w:sz w:val="24"/>
                <w:szCs w:val="24"/>
              </w:rPr>
              <w:t>号厂房，</w:t>
            </w:r>
            <w:r>
              <w:rPr>
                <w:rFonts w:hint="default" w:ascii="Times New Roman" w:hAnsi="Times New Roman" w:eastAsia="Times New Roman" w:cs="Times New Roman"/>
                <w:spacing w:val="-3"/>
                <w:sz w:val="24"/>
                <w:szCs w:val="24"/>
              </w:rPr>
              <w:t>1</w:t>
            </w:r>
            <w:r>
              <w:rPr>
                <w:rFonts w:hint="default" w:ascii="Times New Roman" w:hAnsi="Times New Roman" w:cs="Times New Roman"/>
                <w:spacing w:val="-3"/>
                <w:sz w:val="24"/>
                <w:szCs w:val="24"/>
              </w:rPr>
              <w:t>号厂房主要为环</w:t>
            </w:r>
            <w:r>
              <w:rPr>
                <w:rFonts w:hint="default" w:ascii="Times New Roman" w:hAnsi="Times New Roman" w:cs="Times New Roman"/>
                <w:spacing w:val="1"/>
                <w:sz w:val="24"/>
                <w:szCs w:val="24"/>
              </w:rPr>
              <w:t>保型聚氯乙烯电缆绝缘材料生产线，</w:t>
            </w:r>
            <w:r>
              <w:rPr>
                <w:rFonts w:hint="default" w:ascii="Times New Roman" w:hAnsi="Times New Roman" w:eastAsia="Times New Roman" w:cs="Times New Roman"/>
                <w:spacing w:val="1"/>
                <w:sz w:val="24"/>
                <w:szCs w:val="24"/>
              </w:rPr>
              <w:t>2</w:t>
            </w:r>
            <w:r>
              <w:rPr>
                <w:rFonts w:hint="default" w:ascii="Times New Roman" w:hAnsi="Times New Roman" w:cs="Times New Roman"/>
                <w:spacing w:val="1"/>
                <w:sz w:val="24"/>
                <w:szCs w:val="24"/>
              </w:rPr>
              <w:t>号厂房为热塑性无卤低烟阻燃绝缘材料生</w:t>
            </w:r>
            <w:r>
              <w:rPr>
                <w:rFonts w:hint="default" w:ascii="Times New Roman" w:hAnsi="Times New Roman" w:cs="Times New Roman"/>
                <w:sz w:val="24"/>
                <w:szCs w:val="24"/>
              </w:rPr>
              <w:t>产线生产车间，</w:t>
            </w:r>
            <w:r>
              <w:rPr>
                <w:rFonts w:hint="default" w:ascii="Times New Roman" w:hAnsi="Times New Roman" w:eastAsia="Times New Roman" w:cs="Times New Roman"/>
                <w:sz w:val="24"/>
                <w:szCs w:val="24"/>
              </w:rPr>
              <w:t>3</w:t>
            </w:r>
            <w:r>
              <w:rPr>
                <w:rFonts w:hint="default" w:ascii="Times New Roman" w:hAnsi="Times New Roman" w:cs="Times New Roman"/>
                <w:sz w:val="24"/>
                <w:szCs w:val="24"/>
              </w:rPr>
              <w:t>号厂房为化学交联、硅烷交联绝缘材料生产线，由</w:t>
            </w:r>
            <w:r>
              <w:rPr>
                <w:rFonts w:hint="default" w:ascii="Times New Roman" w:hAnsi="Times New Roman" w:cs="Times New Roman"/>
                <w:spacing w:val="-1"/>
                <w:sz w:val="24"/>
                <w:szCs w:val="24"/>
              </w:rPr>
              <w:t>于</w:t>
            </w:r>
            <w:r>
              <w:rPr>
                <w:rFonts w:hint="default" w:ascii="Times New Roman" w:hAnsi="Times New Roman" w:eastAsia="Times New Roman" w:cs="Times New Roman"/>
                <w:spacing w:val="-1"/>
                <w:sz w:val="24"/>
                <w:szCs w:val="24"/>
              </w:rPr>
              <w:t>3</w:t>
            </w:r>
            <w:r>
              <w:rPr>
                <w:rFonts w:hint="default" w:ascii="Times New Roman" w:hAnsi="Times New Roman" w:cs="Times New Roman"/>
                <w:spacing w:val="-1"/>
                <w:sz w:val="24"/>
                <w:szCs w:val="24"/>
              </w:rPr>
              <w:t>号厂房生产的化学交联、硅烷交联绝缘材料生产线年产量较小，合并为在</w:t>
            </w:r>
            <w:r>
              <w:rPr>
                <w:rFonts w:hint="default" w:ascii="Times New Roman" w:hAnsi="Times New Roman" w:eastAsia="Times New Roman" w:cs="Times New Roman"/>
                <w:spacing w:val="-2"/>
                <w:sz w:val="24"/>
                <w:szCs w:val="24"/>
              </w:rPr>
              <w:t>2</w:t>
            </w:r>
            <w:r>
              <w:rPr>
                <w:rFonts w:hint="default" w:ascii="Times New Roman" w:hAnsi="Times New Roman" w:cs="Times New Roman"/>
                <w:spacing w:val="-2"/>
                <w:sz w:val="24"/>
                <w:szCs w:val="24"/>
              </w:rPr>
              <w:t>号厂房内生</w:t>
            </w:r>
            <w:r>
              <w:rPr>
                <w:rFonts w:hint="default" w:ascii="Times New Roman" w:hAnsi="Times New Roman" w:cs="Times New Roman"/>
                <w:sz w:val="24"/>
                <w:szCs w:val="24"/>
              </w:rPr>
              <w:t>产，</w:t>
            </w:r>
            <w:r>
              <w:rPr>
                <w:rFonts w:hint="default" w:ascii="Times New Roman" w:hAnsi="Times New Roman" w:eastAsia="Times New Roman" w:cs="Times New Roman"/>
                <w:sz w:val="24"/>
                <w:szCs w:val="24"/>
              </w:rPr>
              <w:t>3</w:t>
            </w:r>
            <w:r>
              <w:rPr>
                <w:rFonts w:hint="default" w:ascii="Times New Roman" w:hAnsi="Times New Roman" w:cs="Times New Roman"/>
                <w:sz w:val="24"/>
                <w:szCs w:val="24"/>
              </w:rPr>
              <w:t>号厂房全部租用给本项目使用，云南鑫成鹏高分子科技有限公</w:t>
            </w:r>
            <w:r>
              <w:rPr>
                <w:rFonts w:hint="default" w:ascii="Times New Roman" w:hAnsi="Times New Roman" w:cs="Times New Roman"/>
                <w:spacing w:val="-1"/>
                <w:sz w:val="24"/>
                <w:szCs w:val="24"/>
              </w:rPr>
              <w:t>司不在</w:t>
            </w:r>
            <w:r>
              <w:rPr>
                <w:rFonts w:hint="default" w:ascii="Times New Roman" w:hAnsi="Times New Roman" w:eastAsia="Times New Roman" w:cs="Times New Roman"/>
                <w:spacing w:val="-1"/>
                <w:sz w:val="24"/>
                <w:szCs w:val="24"/>
              </w:rPr>
              <w:t>3</w:t>
            </w:r>
            <w:r>
              <w:rPr>
                <w:rFonts w:hint="default" w:ascii="Times New Roman" w:hAnsi="Times New Roman" w:cs="Times New Roman"/>
                <w:spacing w:val="-1"/>
                <w:sz w:val="24"/>
                <w:szCs w:val="24"/>
              </w:rPr>
              <w:t>号</w:t>
            </w:r>
            <w:r>
              <w:rPr>
                <w:rFonts w:hint="default" w:ascii="Times New Roman" w:hAnsi="Times New Roman" w:cs="Times New Roman"/>
                <w:spacing w:val="-2"/>
                <w:sz w:val="24"/>
                <w:szCs w:val="24"/>
              </w:rPr>
              <w:t>厂房内生产建设。</w:t>
            </w:r>
          </w:p>
          <w:p>
            <w:pPr>
              <w:bidi w:val="0"/>
              <w:rPr>
                <w:rFonts w:hint="default" w:ascii="Times New Roman" w:hAnsi="Times New Roman" w:cs="Times New Roman"/>
                <w:b/>
                <w:bCs/>
              </w:rPr>
            </w:pPr>
            <w:r>
              <w:rPr>
                <w:rFonts w:hint="eastAsia" w:cs="Times New Roman"/>
                <w:b/>
                <w:bCs/>
                <w:lang w:val="en-US" w:eastAsia="zh-CN"/>
              </w:rPr>
              <w:t>3、</w:t>
            </w:r>
            <w:r>
              <w:rPr>
                <w:rFonts w:hint="default" w:ascii="Times New Roman" w:hAnsi="Times New Roman" w:cs="Times New Roman"/>
                <w:b/>
                <w:bCs/>
              </w:rPr>
              <w:t>项目依托云南鑫成鹏高分子科技有限公司的主要环保措施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lang w:val="en-US" w:eastAsia="zh-CN"/>
              </w:rPr>
            </w:pPr>
            <w:r>
              <w:rPr>
                <w:rFonts w:hint="default" w:ascii="Times New Roman" w:hAnsi="Times New Roman" w:cs="Times New Roman"/>
                <w:sz w:val="24"/>
                <w:szCs w:val="24"/>
              </w:rPr>
              <w:t>本项目主要依托云南鑫成鹏高分子科技有限公司的化粪池、一体化污水处理设施以及雨污分流系统。厂房、综合楼均为独立建筑物，项目的建筑区域均已完善，厂区内供电、供排水及道路等公用辅助设施已完善。</w:t>
            </w:r>
          </w:p>
        </w:tc>
      </w:tr>
    </w:tbl>
    <w:p>
      <w:pPr>
        <w:pStyle w:val="24"/>
        <w:jc w:val="center"/>
        <w:rPr>
          <w:rFonts w:hint="default" w:ascii="Times New Roman" w:hAnsi="Times New Roman" w:eastAsia="黑体" w:cs="Times New Roman"/>
          <w:snapToGrid w:val="0"/>
          <w:color w:val="auto"/>
          <w:sz w:val="21"/>
          <w:szCs w:val="21"/>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4"/>
        <w:ind w:firstLine="420"/>
        <w:jc w:val="center"/>
        <w:outlineLvl w:val="0"/>
        <w:rPr>
          <w:rFonts w:hint="default" w:ascii="Times New Roman" w:hAnsi="Times New Roman" w:eastAsia="黑体" w:cs="Times New Roman"/>
          <w:snapToGrid w:val="0"/>
          <w:color w:val="auto"/>
          <w:sz w:val="30"/>
          <w:szCs w:val="30"/>
        </w:rPr>
      </w:pPr>
      <w:bookmarkStart w:id="12" w:name="_Toc27359"/>
      <w:r>
        <w:rPr>
          <w:rFonts w:hint="default" w:ascii="Times New Roman" w:hAnsi="Times New Roman" w:eastAsia="黑体" w:cs="Times New Roman"/>
          <w:snapToGrid w:val="0"/>
          <w:color w:val="auto"/>
          <w:sz w:val="30"/>
          <w:szCs w:val="30"/>
        </w:rPr>
        <w:t>三、区域环境质量现状、环境保护目标及评价标准</w:t>
      </w:r>
      <w:bookmarkEnd w:id="11"/>
      <w:bookmarkEnd w:id="12"/>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8"/>
        <w:gridCol w:w="83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Align w:val="center"/>
          </w:tcPr>
          <w:p>
            <w:pPr>
              <w:pStyle w:val="45"/>
              <w:bidi w:val="0"/>
              <w:rPr>
                <w:rFonts w:hint="default" w:ascii="Times New Roman" w:hAnsi="Times New Roman" w:cs="Times New Roman"/>
              </w:rPr>
            </w:pPr>
            <w:r>
              <w:rPr>
                <w:rFonts w:hint="default" w:ascii="Times New Roman" w:hAnsi="Times New Roman" w:cs="Times New Roman"/>
              </w:rPr>
              <w:t>区域</w:t>
            </w:r>
          </w:p>
          <w:p>
            <w:pPr>
              <w:pStyle w:val="45"/>
              <w:bidi w:val="0"/>
              <w:rPr>
                <w:rFonts w:hint="default" w:ascii="Times New Roman" w:hAnsi="Times New Roman" w:cs="Times New Roman"/>
              </w:rPr>
            </w:pPr>
            <w:r>
              <w:rPr>
                <w:rFonts w:hint="default" w:ascii="Times New Roman" w:hAnsi="Times New Roman" w:cs="Times New Roman"/>
              </w:rPr>
              <w:t>环境</w:t>
            </w:r>
          </w:p>
          <w:p>
            <w:pPr>
              <w:pStyle w:val="45"/>
              <w:bidi w:val="0"/>
              <w:rPr>
                <w:rFonts w:hint="default" w:ascii="Times New Roman" w:hAnsi="Times New Roman" w:cs="Times New Roman"/>
              </w:rPr>
            </w:pPr>
            <w:r>
              <w:rPr>
                <w:rFonts w:hint="default" w:ascii="Times New Roman" w:hAnsi="Times New Roman" w:cs="Times New Roman"/>
              </w:rPr>
              <w:t>质量</w:t>
            </w:r>
          </w:p>
          <w:p>
            <w:pPr>
              <w:pStyle w:val="45"/>
              <w:bidi w:val="0"/>
              <w:rPr>
                <w:rFonts w:hint="default" w:ascii="Times New Roman" w:hAnsi="Times New Roman" w:cs="Times New Roman"/>
                <w:color w:val="auto"/>
                <w:kern w:val="0"/>
                <w:szCs w:val="21"/>
              </w:rPr>
            </w:pPr>
            <w:r>
              <w:rPr>
                <w:rFonts w:hint="default" w:ascii="Times New Roman" w:hAnsi="Times New Roman" w:cs="Times New Roman"/>
              </w:rPr>
              <w:t>现状</w:t>
            </w:r>
          </w:p>
        </w:tc>
        <w:tc>
          <w:tcPr>
            <w:tcW w:w="8352" w:type="dxa"/>
            <w:vAlign w:val="center"/>
          </w:tcPr>
          <w:p>
            <w:pPr>
              <w:adjustRightInd w:val="0"/>
              <w:snapToGrid w:val="0"/>
              <w:spacing w:line="360" w:lineRule="auto"/>
              <w:ind w:firstLine="482" w:firstLineChars="200"/>
              <w:jc w:val="left"/>
              <w:rPr>
                <w:rFonts w:hint="default" w:ascii="Times New Roman" w:hAnsi="Times New Roman" w:cs="Times New Roman" w:eastAsiaTheme="minorEastAsia"/>
                <w:b/>
                <w:color w:val="auto"/>
                <w:kern w:val="0"/>
                <w:szCs w:val="21"/>
              </w:rPr>
            </w:pPr>
            <w:r>
              <w:rPr>
                <w:rFonts w:hint="default" w:ascii="Times New Roman" w:hAnsi="Times New Roman" w:cs="Times New Roman" w:eastAsiaTheme="minorEastAsia"/>
                <w:b/>
                <w:color w:val="auto"/>
                <w:kern w:val="0"/>
                <w:szCs w:val="21"/>
              </w:rPr>
              <w:t>1、环境空气质量现状</w:t>
            </w:r>
          </w:p>
          <w:p>
            <w:pPr>
              <w:pStyle w:val="66"/>
              <w:spacing w:line="360" w:lineRule="auto"/>
              <w:ind w:firstLine="482" w:firstLineChars="200"/>
              <w:rPr>
                <w:rFonts w:hint="default" w:ascii="Times New Roman" w:hAnsi="Times New Roman" w:cs="Times New Roman" w:eastAsiaTheme="minorEastAsia"/>
                <w:b/>
                <w:bCs/>
                <w:color w:val="auto"/>
                <w:szCs w:val="21"/>
              </w:rPr>
            </w:pPr>
            <w:bookmarkStart w:id="13" w:name="_Toc12118053"/>
            <w:r>
              <w:rPr>
                <w:rFonts w:hint="default" w:ascii="Times New Roman" w:hAnsi="Times New Roman" w:cs="Times New Roman" w:eastAsiaTheme="minorEastAsia"/>
                <w:b/>
                <w:bCs/>
                <w:color w:val="auto"/>
                <w:szCs w:val="21"/>
              </w:rPr>
              <w:t>（1）基本污染物环境质量现状</w:t>
            </w:r>
          </w:p>
          <w:bookmarkEnd w:id="13"/>
          <w:p>
            <w:pPr>
              <w:spacing w:line="360" w:lineRule="auto"/>
              <w:ind w:firstLine="48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根据《</w:t>
            </w:r>
            <w:r>
              <w:rPr>
                <w:rFonts w:hint="default" w:ascii="Times New Roman" w:hAnsi="Times New Roman" w:cs="Times New Roman" w:eastAsiaTheme="minorEastAsia"/>
                <w:color w:val="auto"/>
                <w:szCs w:val="21"/>
              </w:rPr>
              <w:t>202</w:t>
            </w:r>
            <w:r>
              <w:rPr>
                <w:rFonts w:hint="default" w:ascii="Times New Roman" w:hAnsi="Times New Roman" w:cs="Times New Roman" w:eastAsiaTheme="minorEastAsia"/>
                <w:color w:val="auto"/>
                <w:szCs w:val="21"/>
                <w:lang w:val="en-US" w:eastAsia="zh-CN"/>
              </w:rPr>
              <w:t>4</w:t>
            </w:r>
            <w:r>
              <w:rPr>
                <w:rFonts w:hint="default" w:ascii="Times New Roman" w:hAnsi="Times New Roman" w:cs="Times New Roman" w:eastAsiaTheme="minorEastAsia"/>
                <w:color w:val="auto"/>
                <w:szCs w:val="21"/>
              </w:rPr>
              <w:t>年澄江市环境空气质量情况报告</w:t>
            </w:r>
            <w:r>
              <w:rPr>
                <w:rFonts w:hint="default" w:ascii="Times New Roman" w:hAnsi="Times New Roman" w:cs="Times New Roman" w:eastAsiaTheme="minorEastAsia"/>
                <w:color w:val="auto"/>
                <w:szCs w:val="21"/>
                <w:lang w:val="en-US" w:eastAsia="zh-CN"/>
              </w:rPr>
              <w:t>》</w:t>
            </w:r>
            <w:r>
              <w:rPr>
                <w:rFonts w:hint="default" w:ascii="Times New Roman" w:hAnsi="Times New Roman" w:cs="Times New Roman" w:eastAsiaTheme="minorEastAsia"/>
                <w:color w:val="auto"/>
                <w:szCs w:val="21"/>
              </w:rPr>
              <w:t>，澄江市现有环境空气质量自动监测点位1个，点位设置在玉溪市生态环境局澄江分局办公楼楼顶，实行24小时自动连续监测。由省、市、县级环境监测站每天对数据进行审核，发现数据异常，及时分析原因，排查污染源；同时对承担运维工作的第三方机构云南聚光科技有限公司实施监督管理。</w:t>
            </w:r>
          </w:p>
          <w:p>
            <w:pPr>
              <w:spacing w:line="360" w:lineRule="auto"/>
              <w:ind w:firstLine="48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月份，共计开展环境空气质量监测31天，有效监测天数31天。其中：一级天数31天，与上年同期相比增加4天；二级天数0天，与上年同期相比减少4天；超标0天，与上年同期相同；2024年1月1日至1月31日空气质量优良率为100%，较上年同期相比略有好转。</w:t>
            </w:r>
          </w:p>
          <w:p>
            <w:pPr>
              <w:spacing w:line="360" w:lineRule="auto"/>
              <w:ind w:firstLine="48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2024年，自动站开展监测项目共计6项，即二氧化硫（SO2）、二氧化氮（NO</w:t>
            </w:r>
            <w:r>
              <w:rPr>
                <w:rFonts w:hint="default" w:ascii="Times New Roman" w:hAnsi="Times New Roman" w:cs="Times New Roman" w:eastAsiaTheme="minorEastAsia"/>
                <w:color w:val="auto"/>
                <w:szCs w:val="21"/>
                <w:vertAlign w:val="subscript"/>
              </w:rPr>
              <w:t>2</w:t>
            </w:r>
            <w:r>
              <w:rPr>
                <w:rFonts w:hint="default" w:ascii="Times New Roman" w:hAnsi="Times New Roman" w:cs="Times New Roman" w:eastAsiaTheme="minorEastAsia"/>
                <w:color w:val="auto"/>
                <w:szCs w:val="21"/>
              </w:rPr>
              <w:t>）、可吸入颗粒物（PM</w:t>
            </w:r>
            <w:r>
              <w:rPr>
                <w:rFonts w:hint="default" w:ascii="Times New Roman" w:hAnsi="Times New Roman" w:cs="Times New Roman" w:eastAsiaTheme="minorEastAsia"/>
                <w:color w:val="auto"/>
                <w:szCs w:val="21"/>
                <w:vertAlign w:val="subscript"/>
              </w:rPr>
              <w:t>10</w:t>
            </w:r>
            <w:r>
              <w:rPr>
                <w:rFonts w:hint="default" w:ascii="Times New Roman" w:hAnsi="Times New Roman" w:cs="Times New Roman" w:eastAsiaTheme="minorEastAsia"/>
                <w:color w:val="auto"/>
                <w:szCs w:val="21"/>
              </w:rPr>
              <w:t>）、一氧化碳（CO）、臭氧（O</w:t>
            </w:r>
            <w:r>
              <w:rPr>
                <w:rFonts w:hint="default" w:ascii="Times New Roman" w:hAnsi="Times New Roman" w:cs="Times New Roman" w:eastAsiaTheme="minorEastAsia"/>
                <w:color w:val="auto"/>
                <w:szCs w:val="21"/>
                <w:vertAlign w:val="subscript"/>
              </w:rPr>
              <w:t>3</w:t>
            </w:r>
            <w:r>
              <w:rPr>
                <w:rFonts w:hint="default" w:ascii="Times New Roman" w:hAnsi="Times New Roman" w:cs="Times New Roman" w:eastAsiaTheme="minorEastAsia"/>
                <w:color w:val="auto"/>
                <w:szCs w:val="21"/>
              </w:rPr>
              <w:t>）、细颗粒物（P</w:t>
            </w:r>
            <w:r>
              <w:rPr>
                <w:rFonts w:hint="default" w:ascii="Times New Roman" w:hAnsi="Times New Roman" w:cs="Times New Roman" w:eastAsiaTheme="minorEastAsia"/>
                <w:color w:val="auto"/>
                <w:szCs w:val="21"/>
                <w:lang w:eastAsia="zh-CN"/>
              </w:rPr>
              <w:t>㎡</w:t>
            </w:r>
            <w:r>
              <w:rPr>
                <w:rFonts w:hint="default" w:ascii="Times New Roman" w:hAnsi="Times New Roman" w:cs="Times New Roman" w:eastAsiaTheme="minorEastAsia"/>
                <w:color w:val="auto"/>
                <w:szCs w:val="21"/>
                <w:vertAlign w:val="subscript"/>
              </w:rPr>
              <w:t>.5</w:t>
            </w:r>
            <w:r>
              <w:rPr>
                <w:rFonts w:hint="default" w:ascii="Times New Roman" w:hAnsi="Times New Roman" w:cs="Times New Roman" w:eastAsiaTheme="minorEastAsia"/>
                <w:color w:val="auto"/>
                <w:szCs w:val="21"/>
              </w:rPr>
              <w:t>）。具体监测情况如下：</w:t>
            </w:r>
          </w:p>
          <w:p>
            <w:pPr>
              <w:spacing w:line="360" w:lineRule="auto"/>
              <w:ind w:firstLine="48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澄江市环境空气质量</w:t>
            </w:r>
            <w:r>
              <w:rPr>
                <w:rFonts w:hint="default" w:ascii="Times New Roman" w:hAnsi="Times New Roman" w:cs="Times New Roman" w:eastAsiaTheme="minorEastAsia"/>
                <w:color w:val="auto"/>
                <w:szCs w:val="21"/>
              </w:rPr>
              <w:t>具体监测数据如下。</w:t>
            </w:r>
          </w:p>
          <w:p>
            <w:pPr>
              <w:pStyle w:val="36"/>
              <w:bidi w:val="0"/>
              <w:rPr>
                <w:rFonts w:hint="default" w:ascii="Times New Roman" w:hAnsi="Times New Roman" w:cs="Times New Roman" w:eastAsiaTheme="minorEastAsia"/>
                <w:b/>
                <w:color w:val="auto"/>
                <w:szCs w:val="21"/>
              </w:rPr>
            </w:pPr>
            <w:r>
              <w:rPr>
                <w:rFonts w:hint="default" w:ascii="Times New Roman" w:hAnsi="Times New Roman" w:cs="Times New Roman"/>
              </w:rPr>
              <w:t>表3-</w:t>
            </w:r>
            <w:r>
              <w:rPr>
                <w:rFonts w:hint="default" w:ascii="Times New Roman" w:hAnsi="Times New Roman" w:cs="Times New Roman"/>
                <w:lang w:val="en-US" w:eastAsia="zh-CN"/>
              </w:rPr>
              <w:t>1</w:t>
            </w:r>
            <w:r>
              <w:rPr>
                <w:rFonts w:hint="default" w:ascii="Times New Roman" w:hAnsi="Times New Roman" w:cs="Times New Roman"/>
              </w:rPr>
              <w:t>澄江市202</w:t>
            </w:r>
            <w:r>
              <w:rPr>
                <w:rFonts w:hint="default" w:ascii="Times New Roman" w:hAnsi="Times New Roman" w:cs="Times New Roman"/>
                <w:lang w:val="en-US" w:eastAsia="zh-CN"/>
              </w:rPr>
              <w:t>4</w:t>
            </w:r>
            <w:r>
              <w:rPr>
                <w:rFonts w:hint="default" w:ascii="Times New Roman" w:hAnsi="Times New Roman" w:cs="Times New Roman"/>
              </w:rPr>
              <w:t>年环境空气质量现状评价</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3"/>
              <w:gridCol w:w="1557"/>
              <w:gridCol w:w="155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202</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澄江市空气质量浓度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监测站点：澄江环保局监测站日期：202</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5"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监测指标</w:t>
                  </w:r>
                </w:p>
              </w:tc>
              <w:tc>
                <w:tcPr>
                  <w:tcW w:w="958"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浓度值</w:t>
                  </w:r>
                </w:p>
              </w:tc>
              <w:tc>
                <w:tcPr>
                  <w:tcW w:w="958"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二级标准</w:t>
                  </w:r>
                </w:p>
              </w:tc>
              <w:tc>
                <w:tcPr>
                  <w:tcW w:w="958"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5"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（μg/</w:t>
                  </w:r>
                  <w:r>
                    <w:rPr>
                      <w:rFonts w:hint="default" w:ascii="Times New Roman" w:hAnsi="Times New Roman" w:cs="Times New Roman"/>
                      <w:sz w:val="21"/>
                      <w:szCs w:val="21"/>
                      <w:lang w:eastAsia="zh-CN"/>
                    </w:rPr>
                    <w:t>m³</w:t>
                  </w:r>
                  <w:r>
                    <w:rPr>
                      <w:rFonts w:hint="default" w:ascii="Times New Roman" w:hAnsi="Times New Roman" w:cs="Times New Roman"/>
                      <w:sz w:val="21"/>
                      <w:szCs w:val="21"/>
                    </w:rPr>
                    <w:t>）</w:t>
                  </w:r>
                </w:p>
              </w:tc>
              <w:tc>
                <w:tcPr>
                  <w:tcW w:w="958"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5</w:t>
                  </w:r>
                </w:p>
              </w:tc>
              <w:tc>
                <w:tcPr>
                  <w:tcW w:w="958"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60</w:t>
                  </w:r>
                </w:p>
              </w:tc>
              <w:tc>
                <w:tcPr>
                  <w:tcW w:w="958"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5"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（μg/</w:t>
                  </w:r>
                  <w:r>
                    <w:rPr>
                      <w:rFonts w:hint="default" w:ascii="Times New Roman" w:hAnsi="Times New Roman" w:cs="Times New Roman"/>
                      <w:sz w:val="21"/>
                      <w:szCs w:val="21"/>
                      <w:lang w:eastAsia="zh-CN"/>
                    </w:rPr>
                    <w:t>m³</w:t>
                  </w:r>
                  <w:r>
                    <w:rPr>
                      <w:rFonts w:hint="default" w:ascii="Times New Roman" w:hAnsi="Times New Roman" w:cs="Times New Roman"/>
                      <w:sz w:val="21"/>
                      <w:szCs w:val="21"/>
                    </w:rPr>
                    <w:t>）</w:t>
                  </w:r>
                </w:p>
              </w:tc>
              <w:tc>
                <w:tcPr>
                  <w:tcW w:w="958"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11</w:t>
                  </w:r>
                </w:p>
              </w:tc>
              <w:tc>
                <w:tcPr>
                  <w:tcW w:w="958"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40</w:t>
                  </w:r>
                </w:p>
              </w:tc>
              <w:tc>
                <w:tcPr>
                  <w:tcW w:w="958"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5"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PM</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（μg/</w:t>
                  </w:r>
                  <w:r>
                    <w:rPr>
                      <w:rFonts w:hint="default" w:ascii="Times New Roman" w:hAnsi="Times New Roman" w:cs="Times New Roman"/>
                      <w:sz w:val="21"/>
                      <w:szCs w:val="21"/>
                      <w:lang w:eastAsia="zh-CN"/>
                    </w:rPr>
                    <w:t>m³</w:t>
                  </w:r>
                  <w:r>
                    <w:rPr>
                      <w:rFonts w:hint="default" w:ascii="Times New Roman" w:hAnsi="Times New Roman" w:cs="Times New Roman"/>
                      <w:sz w:val="21"/>
                      <w:szCs w:val="21"/>
                    </w:rPr>
                    <w:t>）</w:t>
                  </w:r>
                </w:p>
              </w:tc>
              <w:tc>
                <w:tcPr>
                  <w:tcW w:w="958" w:type="pct"/>
                  <w:vAlign w:val="center"/>
                </w:tcPr>
                <w:p>
                  <w:pPr>
                    <w:pStyle w:val="45"/>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19</w:t>
                  </w:r>
                </w:p>
              </w:tc>
              <w:tc>
                <w:tcPr>
                  <w:tcW w:w="958"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70</w:t>
                  </w:r>
                </w:p>
              </w:tc>
              <w:tc>
                <w:tcPr>
                  <w:tcW w:w="958"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5"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P</w:t>
                  </w:r>
                  <w:r>
                    <w:rPr>
                      <w:rFonts w:hint="default" w:ascii="Times New Roman" w:hAnsi="Times New Roman" w:cs="Times New Roman"/>
                      <w:sz w:val="21"/>
                      <w:szCs w:val="21"/>
                      <w:lang w:eastAsia="zh-CN"/>
                    </w:rPr>
                    <w:t>㎡</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（μg/</w:t>
                  </w:r>
                  <w:r>
                    <w:rPr>
                      <w:rFonts w:hint="default" w:ascii="Times New Roman" w:hAnsi="Times New Roman" w:cs="Times New Roman"/>
                      <w:sz w:val="21"/>
                      <w:szCs w:val="21"/>
                      <w:lang w:eastAsia="zh-CN"/>
                    </w:rPr>
                    <w:t>m³</w:t>
                  </w:r>
                  <w:r>
                    <w:rPr>
                      <w:rFonts w:hint="default" w:ascii="Times New Roman" w:hAnsi="Times New Roman" w:cs="Times New Roman"/>
                      <w:sz w:val="21"/>
                      <w:szCs w:val="21"/>
                    </w:rPr>
                    <w:t>）</w:t>
                  </w:r>
                </w:p>
              </w:tc>
              <w:tc>
                <w:tcPr>
                  <w:tcW w:w="958" w:type="pct"/>
                  <w:vAlign w:val="center"/>
                </w:tcPr>
                <w:p>
                  <w:pPr>
                    <w:pStyle w:val="45"/>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14</w:t>
                  </w:r>
                </w:p>
              </w:tc>
              <w:tc>
                <w:tcPr>
                  <w:tcW w:w="958"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35</w:t>
                  </w:r>
                </w:p>
              </w:tc>
              <w:tc>
                <w:tcPr>
                  <w:tcW w:w="958"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5"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CO-日均第95百分位数（mg/</w:t>
                  </w:r>
                  <w:r>
                    <w:rPr>
                      <w:rFonts w:hint="default" w:ascii="Times New Roman" w:hAnsi="Times New Roman" w:cs="Times New Roman"/>
                      <w:sz w:val="21"/>
                      <w:szCs w:val="21"/>
                      <w:lang w:eastAsia="zh-CN"/>
                    </w:rPr>
                    <w:t>m³</w:t>
                  </w:r>
                  <w:r>
                    <w:rPr>
                      <w:rFonts w:hint="default" w:ascii="Times New Roman" w:hAnsi="Times New Roman" w:cs="Times New Roman"/>
                      <w:sz w:val="21"/>
                      <w:szCs w:val="21"/>
                    </w:rPr>
                    <w:t>）</w:t>
                  </w:r>
                </w:p>
              </w:tc>
              <w:tc>
                <w:tcPr>
                  <w:tcW w:w="958" w:type="pct"/>
                  <w:vAlign w:val="center"/>
                </w:tcPr>
                <w:p>
                  <w:pPr>
                    <w:pStyle w:val="45"/>
                    <w:bidi w:val="0"/>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8</w:t>
                  </w:r>
                </w:p>
              </w:tc>
              <w:tc>
                <w:tcPr>
                  <w:tcW w:w="958"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4</w:t>
                  </w:r>
                </w:p>
              </w:tc>
              <w:tc>
                <w:tcPr>
                  <w:tcW w:w="958"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5"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-8h第90百分位数（μg/</w:t>
                  </w:r>
                  <w:r>
                    <w:rPr>
                      <w:rFonts w:hint="default" w:ascii="Times New Roman" w:hAnsi="Times New Roman" w:cs="Times New Roman"/>
                      <w:sz w:val="21"/>
                      <w:szCs w:val="21"/>
                      <w:lang w:eastAsia="zh-CN"/>
                    </w:rPr>
                    <w:t>m³</w:t>
                  </w:r>
                  <w:r>
                    <w:rPr>
                      <w:rFonts w:hint="default" w:ascii="Times New Roman" w:hAnsi="Times New Roman" w:cs="Times New Roman"/>
                      <w:sz w:val="21"/>
                      <w:szCs w:val="21"/>
                    </w:rPr>
                    <w:t>）</w:t>
                  </w:r>
                </w:p>
              </w:tc>
              <w:tc>
                <w:tcPr>
                  <w:tcW w:w="958"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75</w:t>
                  </w:r>
                </w:p>
              </w:tc>
              <w:tc>
                <w:tcPr>
                  <w:tcW w:w="958"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160</w:t>
                  </w:r>
                </w:p>
              </w:tc>
              <w:tc>
                <w:tcPr>
                  <w:tcW w:w="958"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达标</w:t>
                  </w:r>
                </w:p>
              </w:tc>
            </w:tr>
          </w:tbl>
          <w:p>
            <w:pPr>
              <w:spacing w:line="360" w:lineRule="auto"/>
              <w:ind w:firstLine="48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由上表数据可知，澄江市各指标浓度满足《环境空气质量标准》（GB3095-2012）中二级标准的要求，项目所在区域范围内环境空气质量良好，属于达标区。</w:t>
            </w:r>
          </w:p>
          <w:p>
            <w:pPr>
              <w:adjustRightInd w:val="0"/>
              <w:snapToGrid w:val="0"/>
              <w:spacing w:line="360" w:lineRule="auto"/>
              <w:ind w:firstLine="420"/>
              <w:rPr>
                <w:rFonts w:hint="default" w:ascii="Times New Roman" w:hAnsi="Times New Roman" w:cs="Times New Roman" w:eastAsiaTheme="minorEastAsia"/>
                <w:b/>
                <w:bCs/>
                <w:color w:val="auto"/>
                <w:kern w:val="0"/>
                <w:szCs w:val="21"/>
              </w:rPr>
            </w:pPr>
            <w:r>
              <w:rPr>
                <w:rFonts w:hint="default" w:ascii="Times New Roman" w:hAnsi="Times New Roman" w:cs="Times New Roman" w:eastAsiaTheme="minorEastAsia"/>
                <w:b/>
                <w:bCs/>
                <w:color w:val="auto"/>
                <w:kern w:val="0"/>
                <w:szCs w:val="21"/>
              </w:rPr>
              <w:t>（2）特征污染物监测</w:t>
            </w:r>
          </w:p>
          <w:p>
            <w:pPr>
              <w:adjustRightInd w:val="0"/>
              <w:snapToGrid w:val="0"/>
              <w:spacing w:line="360" w:lineRule="auto"/>
              <w:ind w:firstLine="420"/>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本项目运营期大气特征污染物为非甲烷总烃、甲苯、二甲苯。为调查项目区各特征污染物环境质量现状，</w:t>
            </w:r>
            <w:r>
              <w:rPr>
                <w:spacing w:val="-1"/>
                <w:sz w:val="24"/>
                <w:szCs w:val="24"/>
              </w:rPr>
              <w:t>根据《建设项目环境影响报告表编制技术指南》污染影响类（试行</w:t>
            </w:r>
            <w:r>
              <w:rPr>
                <w:spacing w:val="2"/>
                <w:sz w:val="24"/>
                <w:szCs w:val="24"/>
              </w:rPr>
              <w:t>），</w:t>
            </w:r>
            <w:r>
              <w:rPr>
                <w:spacing w:val="-1"/>
                <w:sz w:val="24"/>
                <w:szCs w:val="24"/>
              </w:rPr>
              <w:t>大气环境质量现状数据可引用建设项目周边</w:t>
            </w:r>
            <w:r>
              <w:rPr>
                <w:rFonts w:ascii="Times New Roman" w:hAnsi="Times New Roman" w:eastAsia="Times New Roman" w:cs="Times New Roman"/>
                <w:spacing w:val="-1"/>
                <w:sz w:val="24"/>
                <w:szCs w:val="24"/>
              </w:rPr>
              <w:t>5</w:t>
            </w:r>
            <w:r>
              <w:rPr>
                <w:spacing w:val="-1"/>
                <w:sz w:val="24"/>
                <w:szCs w:val="24"/>
              </w:rPr>
              <w:t>千</w:t>
            </w:r>
            <w:r>
              <w:rPr>
                <w:spacing w:val="-2"/>
                <w:sz w:val="24"/>
                <w:szCs w:val="24"/>
              </w:rPr>
              <w:t>米范围内</w:t>
            </w:r>
            <w:r>
              <w:rPr>
                <w:spacing w:val="-1"/>
                <w:sz w:val="24"/>
                <w:szCs w:val="24"/>
              </w:rPr>
              <w:t>近</w:t>
            </w:r>
            <w:r>
              <w:rPr>
                <w:rFonts w:ascii="Times New Roman" w:hAnsi="Times New Roman" w:eastAsia="Times New Roman" w:cs="Times New Roman"/>
                <w:spacing w:val="-1"/>
                <w:sz w:val="24"/>
                <w:szCs w:val="24"/>
              </w:rPr>
              <w:t>3</w:t>
            </w:r>
            <w:r>
              <w:rPr>
                <w:spacing w:val="-1"/>
                <w:sz w:val="24"/>
                <w:szCs w:val="24"/>
              </w:rPr>
              <w:t>年的现有监测数据。</w:t>
            </w:r>
            <w:r>
              <w:rPr>
                <w:rFonts w:hint="eastAsia" w:ascii="Times New Roman" w:hAnsi="Times New Roman" w:cs="Times New Roman"/>
                <w:color w:val="000000"/>
                <w:lang w:eastAsia="zh-CN"/>
              </w:rPr>
              <w:t>，</w:t>
            </w:r>
            <w:r>
              <w:rPr>
                <w:rFonts w:hint="default" w:ascii="Times New Roman" w:hAnsi="Times New Roman" w:cs="Times New Roman" w:eastAsiaTheme="minorEastAsia"/>
                <w:color w:val="auto"/>
                <w:kern w:val="0"/>
                <w:szCs w:val="21"/>
                <w:lang w:val="en-US" w:eastAsia="zh-CN"/>
              </w:rPr>
              <w:t>本项目引用云南鑫多新型材料有限公司委托贵州鼎拔检测有限公司2023年4月29日出具的监测报告，</w:t>
            </w:r>
            <w:r>
              <w:rPr>
                <w:rFonts w:hint="default" w:ascii="Times New Roman" w:hAnsi="Times New Roman" w:cs="Times New Roman" w:eastAsiaTheme="minorEastAsia"/>
                <w:color w:val="auto"/>
                <w:kern w:val="0"/>
                <w:szCs w:val="21"/>
              </w:rPr>
              <w:t>监测结果如下：</w:t>
            </w:r>
          </w:p>
          <w:p>
            <w:pPr>
              <w:pStyle w:val="36"/>
              <w:bidi w:val="0"/>
              <w:rPr>
                <w:rFonts w:hint="default" w:ascii="Times New Roman" w:hAnsi="Times New Roman" w:cs="Times New Roman"/>
              </w:rPr>
            </w:pPr>
            <w:r>
              <w:rPr>
                <w:rFonts w:hint="default" w:ascii="Times New Roman" w:hAnsi="Times New Roman" w:cs="Times New Roman"/>
              </w:rPr>
              <w:t>表3-</w:t>
            </w:r>
            <w:r>
              <w:rPr>
                <w:rFonts w:hint="default" w:ascii="Times New Roman" w:hAnsi="Times New Roman" w:cs="Times New Roman"/>
                <w:lang w:val="en-US" w:eastAsia="zh-CN"/>
              </w:rPr>
              <w:t>2</w:t>
            </w:r>
            <w:r>
              <w:rPr>
                <w:rFonts w:hint="default" w:ascii="Times New Roman" w:hAnsi="Times New Roman" w:cs="Times New Roman"/>
              </w:rPr>
              <w:t>项目特征污染物环境质量现状检测结果一览表</w:t>
            </w:r>
          </w:p>
          <w:tbl>
            <w:tblPr>
              <w:tblStyle w:val="98"/>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58"/>
              <w:gridCol w:w="1219"/>
              <w:gridCol w:w="956"/>
              <w:gridCol w:w="1092"/>
              <w:gridCol w:w="1092"/>
              <w:gridCol w:w="11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jc w:val="center"/>
              </w:trPr>
              <w:tc>
                <w:tcPr>
                  <w:tcW w:w="1635" w:type="pct"/>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检测点位</w:t>
                  </w:r>
                </w:p>
              </w:tc>
              <w:tc>
                <w:tcPr>
                  <w:tcW w:w="750" w:type="pct"/>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588" w:type="pct"/>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202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1635"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750"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588"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5000"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2023.04.21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厂界上风向参照点A1</w:t>
                  </w:r>
                </w:p>
              </w:tc>
              <w:tc>
                <w:tcPr>
                  <w:tcW w:w="750" w:type="pct"/>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c>
                <w:tcPr>
                  <w:tcW w:w="588" w:type="pct"/>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mg/</w:t>
                  </w:r>
                  <w:r>
                    <w:rPr>
                      <w:rFonts w:hint="default" w:ascii="Times New Roman" w:hAnsi="Times New Roman" w:cs="Times New Roman"/>
                      <w:sz w:val="21"/>
                      <w:szCs w:val="21"/>
                      <w:lang w:eastAsia="zh-CN"/>
                    </w:rPr>
                    <w:t>m³</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0.47</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0.44</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厂界下风向监测点A2</w:t>
                  </w:r>
                </w:p>
              </w:tc>
              <w:tc>
                <w:tcPr>
                  <w:tcW w:w="750" w:type="pct"/>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588" w:type="pct"/>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0.82</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0.89</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厂界下风向监测点A3</w:t>
                  </w:r>
                </w:p>
              </w:tc>
              <w:tc>
                <w:tcPr>
                  <w:tcW w:w="750"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588"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0.91</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0.88</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厂界上风向参照点A1</w:t>
                  </w:r>
                </w:p>
              </w:tc>
              <w:tc>
                <w:tcPr>
                  <w:tcW w:w="750" w:type="pct"/>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甲苯</w:t>
                  </w:r>
                </w:p>
              </w:tc>
              <w:tc>
                <w:tcPr>
                  <w:tcW w:w="588" w:type="pct"/>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mg/</w:t>
                  </w:r>
                  <w:r>
                    <w:rPr>
                      <w:rFonts w:hint="default" w:ascii="Times New Roman" w:hAnsi="Times New Roman" w:cs="Times New Roman"/>
                      <w:sz w:val="21"/>
                      <w:szCs w:val="21"/>
                      <w:lang w:eastAsia="zh-CN"/>
                    </w:rPr>
                    <w:t>m³</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0.0031</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0.0039</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厂界下风向监测点A2</w:t>
                  </w:r>
                </w:p>
              </w:tc>
              <w:tc>
                <w:tcPr>
                  <w:tcW w:w="750" w:type="pct"/>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588" w:type="pct"/>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0.0069</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0.0062</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厂界下风向监测点A3</w:t>
                  </w:r>
                </w:p>
              </w:tc>
              <w:tc>
                <w:tcPr>
                  <w:tcW w:w="750"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588"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0.0086</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0.0069</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厂界上风向参照点A1</w:t>
                  </w:r>
                </w:p>
              </w:tc>
              <w:tc>
                <w:tcPr>
                  <w:tcW w:w="750" w:type="pct"/>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二甲苯</w:t>
                  </w:r>
                </w:p>
              </w:tc>
              <w:tc>
                <w:tcPr>
                  <w:tcW w:w="588" w:type="pct"/>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mg/</w:t>
                  </w:r>
                  <w:r>
                    <w:rPr>
                      <w:rFonts w:hint="default" w:ascii="Times New Roman" w:hAnsi="Times New Roman" w:cs="Times New Roman"/>
                      <w:sz w:val="21"/>
                      <w:szCs w:val="21"/>
                      <w:lang w:eastAsia="zh-CN"/>
                    </w:rPr>
                    <w:t>m³</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0.0078</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0.0082</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厂界下风向监测点A2</w:t>
                  </w:r>
                </w:p>
              </w:tc>
              <w:tc>
                <w:tcPr>
                  <w:tcW w:w="750" w:type="pct"/>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588" w:type="pct"/>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0.0198</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0.0215</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厂界下风向监测点A3</w:t>
                  </w:r>
                </w:p>
              </w:tc>
              <w:tc>
                <w:tcPr>
                  <w:tcW w:w="750"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588"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0.0254</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0.0269</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5000"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2023.04.22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厂界上风向参照点A1</w:t>
                  </w:r>
                </w:p>
              </w:tc>
              <w:tc>
                <w:tcPr>
                  <w:tcW w:w="750" w:type="pct"/>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c>
                <w:tcPr>
                  <w:tcW w:w="588" w:type="pct"/>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mg/</w:t>
                  </w:r>
                  <w:r>
                    <w:rPr>
                      <w:rFonts w:hint="default" w:ascii="Times New Roman" w:hAnsi="Times New Roman" w:cs="Times New Roman"/>
                      <w:sz w:val="21"/>
                      <w:szCs w:val="21"/>
                      <w:lang w:eastAsia="zh-CN"/>
                    </w:rPr>
                    <w:t>m³</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0.41</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0.39</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厂界下风向监测点A2</w:t>
                  </w:r>
                </w:p>
              </w:tc>
              <w:tc>
                <w:tcPr>
                  <w:tcW w:w="750" w:type="pct"/>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588" w:type="pct"/>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0.85</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0.87</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厂界下风向监测点A3</w:t>
                  </w:r>
                </w:p>
              </w:tc>
              <w:tc>
                <w:tcPr>
                  <w:tcW w:w="750"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588"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0.84</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0.82</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厂界上风向参照点A1</w:t>
                  </w:r>
                </w:p>
              </w:tc>
              <w:tc>
                <w:tcPr>
                  <w:tcW w:w="750" w:type="pct"/>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甲苯</w:t>
                  </w:r>
                </w:p>
              </w:tc>
              <w:tc>
                <w:tcPr>
                  <w:tcW w:w="588" w:type="pct"/>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mg/</w:t>
                  </w:r>
                  <w:r>
                    <w:rPr>
                      <w:rFonts w:hint="default" w:ascii="Times New Roman" w:hAnsi="Times New Roman" w:cs="Times New Roman"/>
                      <w:sz w:val="21"/>
                      <w:szCs w:val="21"/>
                      <w:lang w:eastAsia="zh-CN"/>
                    </w:rPr>
                    <w:t>m³</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0.0045</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0.0039</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厂界下风向监测点A2</w:t>
                  </w:r>
                </w:p>
              </w:tc>
              <w:tc>
                <w:tcPr>
                  <w:tcW w:w="750" w:type="pct"/>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588" w:type="pct"/>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0.0089</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0.0096</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厂界下风向监测点A3</w:t>
                  </w:r>
                </w:p>
              </w:tc>
              <w:tc>
                <w:tcPr>
                  <w:tcW w:w="750"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588"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0.0077</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0.0073</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厂界上风向参照点A1</w:t>
                  </w:r>
                </w:p>
              </w:tc>
              <w:tc>
                <w:tcPr>
                  <w:tcW w:w="750" w:type="pct"/>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二甲苯</w:t>
                  </w:r>
                </w:p>
              </w:tc>
              <w:tc>
                <w:tcPr>
                  <w:tcW w:w="588" w:type="pct"/>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mg/</w:t>
                  </w:r>
                  <w:r>
                    <w:rPr>
                      <w:rFonts w:hint="default" w:ascii="Times New Roman" w:hAnsi="Times New Roman" w:cs="Times New Roman"/>
                      <w:sz w:val="21"/>
                      <w:szCs w:val="21"/>
                      <w:lang w:eastAsia="zh-CN"/>
                    </w:rPr>
                    <w:t>m³</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0.0088</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0.0076</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厂界下风向监测点A2</w:t>
                  </w:r>
                </w:p>
              </w:tc>
              <w:tc>
                <w:tcPr>
                  <w:tcW w:w="750" w:type="pct"/>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588" w:type="pct"/>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0.0169</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0.0194</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厂界下风向监测点A3</w:t>
                  </w:r>
                </w:p>
              </w:tc>
              <w:tc>
                <w:tcPr>
                  <w:tcW w:w="750"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588"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0.239</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0.0218</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0.0358</w:t>
                  </w:r>
                </w:p>
              </w:tc>
            </w:tr>
          </w:tbl>
          <w:p>
            <w:pPr>
              <w:adjustRightInd w:val="0"/>
              <w:snapToGrid w:val="0"/>
              <w:spacing w:before="120" w:beforeLines="50" w:line="360" w:lineRule="auto"/>
              <w:ind w:firstLine="420"/>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根据上表监测数据可知，项目所在区域的甲苯、二甲苯小时浓度能够达到《环境空气质量标准》（GB3095-2012）二级评价标准要求；</w:t>
            </w:r>
            <w:r>
              <w:rPr>
                <w:rFonts w:hint="default" w:ascii="Times New Roman" w:hAnsi="Times New Roman" w:cs="Times New Roman" w:eastAsiaTheme="minorEastAsia"/>
                <w:color w:val="auto"/>
                <w:szCs w:val="21"/>
              </w:rPr>
              <w:t>非甲烷总烃</w:t>
            </w:r>
            <w:r>
              <w:rPr>
                <w:rFonts w:hint="default" w:ascii="Times New Roman" w:hAnsi="Times New Roman" w:cs="Times New Roman" w:eastAsiaTheme="minorEastAsia"/>
                <w:color w:val="auto"/>
                <w:szCs w:val="21"/>
                <w:lang w:bidi="ar"/>
              </w:rPr>
              <w:t>小时值均能满足</w:t>
            </w:r>
            <w:r>
              <w:rPr>
                <w:rFonts w:hint="default" w:ascii="Times New Roman" w:hAnsi="Times New Roman" w:cs="Times New Roman" w:eastAsiaTheme="minorEastAsia"/>
                <w:color w:val="auto"/>
                <w:szCs w:val="21"/>
              </w:rPr>
              <w:t>中国环境科学出版社出版的国家环境保护局科技标准司的《大气污染物综合排放标准详解》中浓度限值</w:t>
            </w:r>
            <w:r>
              <w:rPr>
                <w:rFonts w:hint="default" w:ascii="Times New Roman" w:hAnsi="Times New Roman" w:cs="Times New Roman" w:eastAsiaTheme="minorEastAsia"/>
                <w:color w:val="auto"/>
                <w:kern w:val="0"/>
                <w:szCs w:val="21"/>
              </w:rPr>
              <w:t>。</w:t>
            </w:r>
          </w:p>
          <w:p>
            <w:pPr>
              <w:adjustRightInd w:val="0"/>
              <w:snapToGrid w:val="0"/>
              <w:spacing w:line="360" w:lineRule="auto"/>
              <w:ind w:firstLine="482" w:firstLineChars="200"/>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2、地表水环境质量现状</w:t>
            </w:r>
          </w:p>
          <w:p>
            <w:pPr>
              <w:adjustRightInd w:val="0"/>
              <w:snapToGrid w:val="0"/>
              <w:spacing w:line="360" w:lineRule="auto"/>
              <w:ind w:firstLine="48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项目位于</w:t>
            </w:r>
            <w:r>
              <w:rPr>
                <w:rFonts w:hint="default" w:ascii="Times New Roman" w:hAnsi="Times New Roman" w:cs="Times New Roman" w:eastAsiaTheme="minorEastAsia"/>
                <w:color w:val="auto"/>
                <w:szCs w:val="21"/>
                <w:lang w:eastAsia="zh-CN"/>
              </w:rPr>
              <w:t>云南澄江产业园区提古片区</w:t>
            </w:r>
            <w:r>
              <w:rPr>
                <w:rFonts w:hint="default" w:ascii="Times New Roman" w:hAnsi="Times New Roman" w:cs="Times New Roman" w:eastAsiaTheme="minorEastAsia"/>
                <w:color w:val="auto"/>
                <w:szCs w:val="21"/>
              </w:rPr>
              <w:t>，属于滇池流域，经调查，滇池位于项目西侧1</w:t>
            </w:r>
            <w:r>
              <w:rPr>
                <w:rFonts w:hint="default" w:ascii="Times New Roman" w:hAnsi="Times New Roman" w:cs="Times New Roman" w:eastAsiaTheme="minorEastAsia"/>
                <w:color w:val="auto"/>
                <w:szCs w:val="21"/>
                <w:lang w:val="en-US" w:eastAsia="zh-CN"/>
              </w:rPr>
              <w:t>1</w:t>
            </w:r>
            <w:r>
              <w:rPr>
                <w:rFonts w:hint="default" w:ascii="Times New Roman" w:hAnsi="Times New Roman" w:cs="Times New Roman" w:eastAsiaTheme="minorEastAsia"/>
                <w:color w:val="auto"/>
                <w:szCs w:val="21"/>
              </w:rPr>
              <w:t>km，项目周围无地表水。</w:t>
            </w:r>
          </w:p>
          <w:p>
            <w:pPr>
              <w:adjustRightInd w:val="0"/>
              <w:snapToGrid w:val="0"/>
              <w:spacing w:line="360" w:lineRule="auto"/>
              <w:ind w:firstLine="48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根据《202</w:t>
            </w:r>
            <w:r>
              <w:rPr>
                <w:rFonts w:hint="default" w:ascii="Times New Roman" w:hAnsi="Times New Roman" w:cs="Times New Roman" w:eastAsiaTheme="minorEastAsia"/>
                <w:color w:val="auto"/>
                <w:szCs w:val="21"/>
                <w:lang w:val="en-US" w:eastAsia="zh-CN"/>
              </w:rPr>
              <w:t>2</w:t>
            </w:r>
            <w:r>
              <w:rPr>
                <w:rFonts w:hint="default" w:ascii="Times New Roman" w:hAnsi="Times New Roman" w:cs="Times New Roman" w:eastAsiaTheme="minorEastAsia"/>
                <w:color w:val="auto"/>
                <w:szCs w:val="21"/>
              </w:rPr>
              <w:t>年度昆明市生态环境状况公报》，滇池全湖水质类别为Ⅳ类，综合营养状态指数为59.9，营养状态为轻度富营养，与2021年相比，水质类别保持不变，营养状态由中度富营养转为轻度富营养。35条滇池主要入湖河道中，2条河道断流，20条河道水质类别为Ⅱ—Ⅲ类，11条河道水质类别为Ⅳ—Ⅴ类，2条河道水质类别为劣Ⅴ类</w:t>
            </w:r>
            <w:r>
              <w:rPr>
                <w:rFonts w:hint="default" w:ascii="Times New Roman" w:hAnsi="Times New Roman" w:cs="Times New Roman" w:eastAsiaTheme="minorEastAsia"/>
                <w:color w:val="auto"/>
                <w:szCs w:val="21"/>
                <w:lang w:eastAsia="zh-CN"/>
              </w:rPr>
              <w:t>。离项目区最近的入滇河流为</w:t>
            </w:r>
            <w:r>
              <w:rPr>
                <w:rFonts w:hint="default" w:ascii="Times New Roman" w:hAnsi="Times New Roman" w:cs="Times New Roman" w:eastAsiaTheme="minorEastAsia"/>
                <w:color w:val="auto"/>
                <w:szCs w:val="21"/>
                <w:lang w:val="en-US" w:eastAsia="zh-CN"/>
              </w:rPr>
              <w:t>梁王河</w:t>
            </w:r>
            <w:r>
              <w:rPr>
                <w:rFonts w:hint="default" w:ascii="Times New Roman" w:hAnsi="Times New Roman" w:cs="Times New Roman" w:eastAsiaTheme="minorEastAsia"/>
                <w:color w:val="auto"/>
                <w:szCs w:val="21"/>
                <w:lang w:eastAsia="zh-CN"/>
              </w:rPr>
              <w:t>，</w:t>
            </w:r>
            <w:r>
              <w:rPr>
                <w:rFonts w:hint="default" w:ascii="Times New Roman" w:hAnsi="Times New Roman" w:cs="Times New Roman" w:eastAsiaTheme="minorEastAsia"/>
                <w:color w:val="auto"/>
                <w:szCs w:val="21"/>
                <w:lang w:val="en-US" w:eastAsia="zh-CN"/>
              </w:rPr>
              <w:t>距项目北侧4.88km</w:t>
            </w:r>
            <w:r>
              <w:rPr>
                <w:rFonts w:hint="default" w:ascii="Times New Roman" w:hAnsi="Times New Roman" w:cs="Times New Roman" w:eastAsiaTheme="minorEastAsia"/>
                <w:color w:val="auto"/>
                <w:szCs w:val="21"/>
                <w:lang w:eastAsia="zh-CN"/>
              </w:rPr>
              <w:t>，</w:t>
            </w:r>
            <w:r>
              <w:rPr>
                <w:rFonts w:hint="default" w:ascii="Times New Roman" w:hAnsi="Times New Roman" w:cs="Times New Roman" w:eastAsiaTheme="minorEastAsia"/>
                <w:color w:val="auto"/>
                <w:szCs w:val="21"/>
              </w:rPr>
              <w:t>根据《云南省水功能区划2014版》</w:t>
            </w:r>
            <w:r>
              <w:rPr>
                <w:rFonts w:hint="default" w:ascii="Times New Roman" w:hAnsi="Times New Roman" w:cs="Times New Roman" w:eastAsiaTheme="minorEastAsia"/>
                <w:color w:val="auto"/>
                <w:szCs w:val="21"/>
                <w:lang w:eastAsia="zh-CN"/>
              </w:rPr>
              <w:t>：梁王河呈贡农业用水区：由河源至滇池入口，全长23.0km，主要用于农灌。现状水质为Ⅳ类，规划水平年水质目标为Ⅲ类。根据</w:t>
            </w:r>
            <w:r>
              <w:rPr>
                <w:rFonts w:hint="default" w:ascii="Times New Roman" w:hAnsi="Times New Roman" w:cs="Times New Roman" w:eastAsiaTheme="minorEastAsia"/>
                <w:color w:val="auto"/>
                <w:szCs w:val="21"/>
              </w:rPr>
              <w:t>《2023年</w:t>
            </w:r>
            <w:r>
              <w:rPr>
                <w:rFonts w:hint="default" w:ascii="Times New Roman" w:hAnsi="Times New Roman" w:cs="Times New Roman" w:eastAsiaTheme="minorEastAsia"/>
                <w:color w:val="auto"/>
                <w:szCs w:val="21"/>
                <w:lang w:val="en-US" w:eastAsia="zh-CN"/>
              </w:rPr>
              <w:t>7</w:t>
            </w:r>
            <w:r>
              <w:rPr>
                <w:rFonts w:hint="default" w:ascii="Times New Roman" w:hAnsi="Times New Roman" w:cs="Times New Roman" w:eastAsiaTheme="minorEastAsia"/>
                <w:color w:val="auto"/>
                <w:szCs w:val="21"/>
              </w:rPr>
              <w:t>月呈贡区入滇河流水质月报》：</w:t>
            </w:r>
            <w:r>
              <w:rPr>
                <w:rFonts w:hint="default" w:ascii="Times New Roman" w:hAnsi="Times New Roman" w:cs="Times New Roman" w:eastAsiaTheme="minorEastAsia"/>
                <w:color w:val="auto"/>
                <w:szCs w:val="21"/>
                <w:lang w:eastAsia="zh-CN"/>
              </w:rPr>
              <w:t>梁王河呈贡辖区海康庄园南300米（小月角）断面水质为Ⅱ类，水质状况优。</w:t>
            </w:r>
          </w:p>
          <w:p>
            <w:pPr>
              <w:adjustRightInd w:val="0"/>
              <w:snapToGrid w:val="0"/>
              <w:spacing w:line="360" w:lineRule="auto"/>
              <w:ind w:firstLine="48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因此，项目所在区域为水环境达标区。</w:t>
            </w:r>
          </w:p>
          <w:p>
            <w:pPr>
              <w:adjustRightInd w:val="0"/>
              <w:snapToGrid w:val="0"/>
              <w:spacing w:before="120" w:beforeLines="50" w:line="360" w:lineRule="auto"/>
              <w:ind w:firstLine="482" w:firstLineChars="200"/>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3、声环境质量现状</w:t>
            </w:r>
          </w:p>
          <w:p>
            <w:pPr>
              <w:bidi w:val="0"/>
              <w:rPr>
                <w:rFonts w:hint="default" w:ascii="Times New Roman" w:hAnsi="Times New Roman" w:cs="Times New Roman"/>
              </w:rPr>
            </w:pPr>
            <w:r>
              <w:rPr>
                <w:rFonts w:hint="default" w:ascii="Times New Roman" w:hAnsi="Times New Roman" w:cs="Times New Roman"/>
              </w:rPr>
              <w:t>本项目位于澄江市提古工业园区，根据《声环境功能区划分技术规范》（GB/T15190-2014）本项目所在地属于3类声功能区，经实地勘查，项目50m范围内有声环境保护目标（项目区西、北侧的提古村）。根据《声环境质量标准》（GB3096-2008）3类标准，西、北侧的提古村属于居民区，执行2类标准。</w:t>
            </w:r>
          </w:p>
          <w:p>
            <w:pPr>
              <w:bidi w:val="0"/>
              <w:rPr>
                <w:rFonts w:hint="default" w:ascii="Times New Roman" w:hAnsi="Times New Roman" w:cs="Times New Roman"/>
                <w:szCs w:val="24"/>
              </w:rPr>
            </w:pPr>
            <w:r>
              <w:rPr>
                <w:rFonts w:hint="default" w:ascii="Times New Roman" w:hAnsi="Times New Roman" w:cs="Times New Roman"/>
              </w:rPr>
              <w:t>根据《建设项目环境影响报告表编制技术指南》污染影响类（试行），项目厂界外周边50米范围存在声环境保护目标（西、北侧的提古村散户），需监测保护目标声环境质量现状。本项目云南天倪检测有限公司对项目区噪声现状进行监测，监测点位于厂界西、北</w:t>
            </w:r>
            <w:r>
              <w:rPr>
                <w:rFonts w:hint="default" w:ascii="Times New Roman" w:hAnsi="Times New Roman" w:cs="Times New Roman"/>
                <w:lang w:val="en-US" w:eastAsia="zh-CN"/>
              </w:rPr>
              <w:t>保护目标</w:t>
            </w:r>
            <w:r>
              <w:rPr>
                <w:rFonts w:hint="default" w:ascii="Times New Roman" w:hAnsi="Times New Roman" w:cs="Times New Roman"/>
              </w:rPr>
              <w:t>布设2个监测点，监测时间为2022年5月16日，能代表本项目建设区域的声环境质量现状。监测值见表3-</w:t>
            </w:r>
            <w:r>
              <w:rPr>
                <w:rFonts w:hint="default" w:ascii="Times New Roman" w:hAnsi="Times New Roman" w:cs="Times New Roman"/>
                <w:lang w:val="en-US" w:eastAsia="zh-CN"/>
              </w:rPr>
              <w:t>3</w:t>
            </w:r>
            <w:r>
              <w:rPr>
                <w:rFonts w:hint="default" w:ascii="Times New Roman" w:hAnsi="Times New Roman" w:cs="Times New Roman"/>
              </w:rPr>
              <w:t>。</w:t>
            </w:r>
          </w:p>
          <w:p>
            <w:pPr>
              <w:pStyle w:val="36"/>
              <w:bidi w:val="0"/>
              <w:rPr>
                <w:rFonts w:hint="default" w:ascii="Times New Roman" w:hAnsi="Times New Roman" w:cs="Times New Roman"/>
              </w:rPr>
            </w:pPr>
            <w:r>
              <w:rPr>
                <w:rFonts w:hint="default" w:ascii="Times New Roman" w:hAnsi="Times New Roman" w:cs="Times New Roman"/>
              </w:rPr>
              <w:t>表3-</w:t>
            </w:r>
            <w:r>
              <w:rPr>
                <w:rFonts w:hint="default" w:ascii="Times New Roman" w:hAnsi="Times New Roman" w:cs="Times New Roman"/>
                <w:lang w:val="en-US" w:eastAsia="zh-CN"/>
              </w:rPr>
              <w:t>3</w:t>
            </w:r>
            <w:r>
              <w:rPr>
                <w:rFonts w:hint="default" w:ascii="Times New Roman" w:hAnsi="Times New Roman" w:cs="Times New Roman"/>
              </w:rPr>
              <w:t>项目声环境现状监测数据</w:t>
            </w:r>
          </w:p>
          <w:tbl>
            <w:tblPr>
              <w:tblStyle w:val="98"/>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4"/>
              <w:gridCol w:w="2042"/>
              <w:gridCol w:w="1314"/>
              <w:gridCol w:w="1888"/>
              <w:gridCol w:w="9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165" w:type="pct"/>
                  <w:vMerge w:val="restart"/>
                  <w:tcBorders>
                    <w:bottom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监测地点</w:t>
                  </w:r>
                </w:p>
              </w:tc>
              <w:tc>
                <w:tcPr>
                  <w:tcW w:w="1256" w:type="pct"/>
                  <w:vMerge w:val="restart"/>
                  <w:tcBorders>
                    <w:bottom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监测日期</w:t>
                  </w:r>
                </w:p>
              </w:tc>
              <w:tc>
                <w:tcPr>
                  <w:tcW w:w="808" w:type="pct"/>
                  <w:vMerge w:val="restart"/>
                  <w:tcBorders>
                    <w:bottom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监测时间</w:t>
                  </w:r>
                </w:p>
              </w:tc>
              <w:tc>
                <w:tcPr>
                  <w:tcW w:w="116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等效声级Leq</w:t>
                  </w:r>
                </w:p>
                <w:p>
                  <w:pPr>
                    <w:pStyle w:val="45"/>
                    <w:bidi w:val="0"/>
                    <w:jc w:val="center"/>
                    <w:rPr>
                      <w:rFonts w:hint="default" w:ascii="Times New Roman" w:hAnsi="Times New Roman" w:cs="Times New Roman"/>
                    </w:rPr>
                  </w:pPr>
                  <w:r>
                    <w:rPr>
                      <w:rFonts w:hint="default" w:ascii="Times New Roman" w:hAnsi="Times New Roman" w:cs="Times New Roman"/>
                    </w:rPr>
                    <w:t>（A）</w:t>
                  </w:r>
                </w:p>
              </w:tc>
              <w:tc>
                <w:tcPr>
                  <w:tcW w:w="608" w:type="pct"/>
                  <w:vMerge w:val="restart"/>
                  <w:tcBorders>
                    <w:bottom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标准值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65" w:type="pct"/>
                  <w:vMerge w:val="continue"/>
                  <w:tcBorders>
                    <w:top w:val="nil"/>
                  </w:tcBorders>
                  <w:vAlign w:val="center"/>
                </w:tcPr>
                <w:p>
                  <w:pPr>
                    <w:pStyle w:val="45"/>
                    <w:bidi w:val="0"/>
                    <w:jc w:val="center"/>
                    <w:rPr>
                      <w:rFonts w:hint="default" w:ascii="Times New Roman" w:hAnsi="Times New Roman" w:cs="Times New Roman"/>
                    </w:rPr>
                  </w:pPr>
                </w:p>
              </w:tc>
              <w:tc>
                <w:tcPr>
                  <w:tcW w:w="1256" w:type="pct"/>
                  <w:vMerge w:val="continue"/>
                  <w:tcBorders>
                    <w:top w:val="nil"/>
                  </w:tcBorders>
                  <w:vAlign w:val="center"/>
                </w:tcPr>
                <w:p>
                  <w:pPr>
                    <w:pStyle w:val="45"/>
                    <w:bidi w:val="0"/>
                    <w:jc w:val="center"/>
                    <w:rPr>
                      <w:rFonts w:hint="default" w:ascii="Times New Roman" w:hAnsi="Times New Roman" w:cs="Times New Roman"/>
                    </w:rPr>
                  </w:pPr>
                </w:p>
              </w:tc>
              <w:tc>
                <w:tcPr>
                  <w:tcW w:w="808" w:type="pct"/>
                  <w:vMerge w:val="continue"/>
                  <w:tcBorders>
                    <w:top w:val="nil"/>
                  </w:tcBorders>
                  <w:vAlign w:val="center"/>
                </w:tcPr>
                <w:p>
                  <w:pPr>
                    <w:pStyle w:val="45"/>
                    <w:bidi w:val="0"/>
                    <w:jc w:val="center"/>
                    <w:rPr>
                      <w:rFonts w:hint="default" w:ascii="Times New Roman" w:hAnsi="Times New Roman" w:cs="Times New Roman"/>
                    </w:rPr>
                  </w:pPr>
                </w:p>
              </w:tc>
              <w:tc>
                <w:tcPr>
                  <w:tcW w:w="116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噪声值</w:t>
                  </w:r>
                </w:p>
              </w:tc>
              <w:tc>
                <w:tcPr>
                  <w:tcW w:w="608" w:type="pct"/>
                  <w:vMerge w:val="continue"/>
                  <w:tcBorders>
                    <w:top w:val="nil"/>
                  </w:tcBorders>
                  <w:vAlign w:val="center"/>
                </w:tcPr>
                <w:p>
                  <w:pPr>
                    <w:pStyle w:val="45"/>
                    <w:bidi w:val="0"/>
                    <w:jc w:val="cente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65" w:type="pct"/>
                  <w:vMerge w:val="restart"/>
                  <w:tcBorders>
                    <w:bottom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1#监测点厂界西</w:t>
                  </w:r>
                </w:p>
              </w:tc>
              <w:tc>
                <w:tcPr>
                  <w:tcW w:w="1256" w:type="pct"/>
                  <w:vMerge w:val="restart"/>
                  <w:tcBorders>
                    <w:bottom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2022.05.16</w:t>
                  </w:r>
                </w:p>
              </w:tc>
              <w:tc>
                <w:tcPr>
                  <w:tcW w:w="80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昼间</w:t>
                  </w:r>
                </w:p>
              </w:tc>
              <w:tc>
                <w:tcPr>
                  <w:tcW w:w="116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55.8</w:t>
                  </w:r>
                </w:p>
              </w:tc>
              <w:tc>
                <w:tcPr>
                  <w:tcW w:w="60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65" w:type="pct"/>
                  <w:vMerge w:val="continue"/>
                  <w:tcBorders>
                    <w:top w:val="nil"/>
                  </w:tcBorders>
                  <w:vAlign w:val="center"/>
                </w:tcPr>
                <w:p>
                  <w:pPr>
                    <w:pStyle w:val="45"/>
                    <w:bidi w:val="0"/>
                    <w:jc w:val="center"/>
                    <w:rPr>
                      <w:rFonts w:hint="default" w:ascii="Times New Roman" w:hAnsi="Times New Roman" w:cs="Times New Roman"/>
                    </w:rPr>
                  </w:pPr>
                </w:p>
              </w:tc>
              <w:tc>
                <w:tcPr>
                  <w:tcW w:w="1256" w:type="pct"/>
                  <w:vMerge w:val="continue"/>
                  <w:tcBorders>
                    <w:top w:val="nil"/>
                  </w:tcBorders>
                  <w:vAlign w:val="center"/>
                </w:tcPr>
                <w:p>
                  <w:pPr>
                    <w:pStyle w:val="45"/>
                    <w:bidi w:val="0"/>
                    <w:jc w:val="center"/>
                    <w:rPr>
                      <w:rFonts w:hint="default" w:ascii="Times New Roman" w:hAnsi="Times New Roman" w:cs="Times New Roman"/>
                    </w:rPr>
                  </w:pPr>
                </w:p>
              </w:tc>
              <w:tc>
                <w:tcPr>
                  <w:tcW w:w="80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夜间</w:t>
                  </w:r>
                </w:p>
              </w:tc>
              <w:tc>
                <w:tcPr>
                  <w:tcW w:w="116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44.7</w:t>
                  </w:r>
                </w:p>
              </w:tc>
              <w:tc>
                <w:tcPr>
                  <w:tcW w:w="60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65" w:type="pct"/>
                  <w:vMerge w:val="restart"/>
                  <w:tcBorders>
                    <w:bottom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2#监测点厂界北</w:t>
                  </w:r>
                </w:p>
              </w:tc>
              <w:tc>
                <w:tcPr>
                  <w:tcW w:w="1256" w:type="pct"/>
                  <w:vMerge w:val="restart"/>
                  <w:tcBorders>
                    <w:bottom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2022.05.16</w:t>
                  </w:r>
                </w:p>
              </w:tc>
              <w:tc>
                <w:tcPr>
                  <w:tcW w:w="80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昼间</w:t>
                  </w:r>
                </w:p>
              </w:tc>
              <w:tc>
                <w:tcPr>
                  <w:tcW w:w="116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57.2</w:t>
                  </w:r>
                </w:p>
              </w:tc>
              <w:tc>
                <w:tcPr>
                  <w:tcW w:w="60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165" w:type="pct"/>
                  <w:vMerge w:val="continue"/>
                  <w:tcBorders>
                    <w:top w:val="nil"/>
                  </w:tcBorders>
                  <w:vAlign w:val="center"/>
                </w:tcPr>
                <w:p>
                  <w:pPr>
                    <w:pStyle w:val="45"/>
                    <w:bidi w:val="0"/>
                    <w:jc w:val="center"/>
                    <w:rPr>
                      <w:rFonts w:hint="default" w:ascii="Times New Roman" w:hAnsi="Times New Roman" w:cs="Times New Roman"/>
                    </w:rPr>
                  </w:pPr>
                </w:p>
              </w:tc>
              <w:tc>
                <w:tcPr>
                  <w:tcW w:w="1256" w:type="pct"/>
                  <w:vMerge w:val="continue"/>
                  <w:tcBorders>
                    <w:top w:val="nil"/>
                  </w:tcBorders>
                  <w:vAlign w:val="center"/>
                </w:tcPr>
                <w:p>
                  <w:pPr>
                    <w:pStyle w:val="45"/>
                    <w:bidi w:val="0"/>
                    <w:jc w:val="center"/>
                    <w:rPr>
                      <w:rFonts w:hint="default" w:ascii="Times New Roman" w:hAnsi="Times New Roman" w:cs="Times New Roman"/>
                    </w:rPr>
                  </w:pPr>
                </w:p>
              </w:tc>
              <w:tc>
                <w:tcPr>
                  <w:tcW w:w="80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夜间</w:t>
                  </w:r>
                </w:p>
              </w:tc>
              <w:tc>
                <w:tcPr>
                  <w:tcW w:w="116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44.0</w:t>
                  </w:r>
                </w:p>
              </w:tc>
              <w:tc>
                <w:tcPr>
                  <w:tcW w:w="60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50</w:t>
                  </w:r>
                </w:p>
              </w:tc>
            </w:tr>
          </w:tbl>
          <w:p>
            <w:pPr>
              <w:bidi w:val="0"/>
              <w:ind w:left="0" w:leftChars="0" w:firstLine="720" w:firstLineChars="300"/>
              <w:jc w:val="left"/>
              <w:rPr>
                <w:rFonts w:hint="default" w:ascii="Times New Roman" w:hAnsi="Times New Roman" w:cs="Times New Roman"/>
              </w:rPr>
            </w:pPr>
            <w:r>
              <w:rPr>
                <w:rFonts w:hint="default" w:ascii="Times New Roman" w:hAnsi="Times New Roman" w:cs="Times New Roman"/>
              </w:rPr>
              <w:t>由上表可知，项目所在地场界声环境质量现状就能达到《声环境质量标准》（GB3096-2008）中的2类标准。即昼间≤60dB（A），夜间≤50dB（A）；</w:t>
            </w:r>
          </w:p>
          <w:p>
            <w:pPr>
              <w:adjustRightInd w:val="0"/>
              <w:snapToGrid w:val="0"/>
              <w:spacing w:line="360" w:lineRule="auto"/>
              <w:ind w:firstLine="482" w:firstLineChars="200"/>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4、生态环境质量现状</w:t>
            </w:r>
          </w:p>
          <w:p>
            <w:pPr>
              <w:adjustRightInd w:val="0"/>
              <w:snapToGrid w:val="0"/>
              <w:spacing w:line="360" w:lineRule="auto"/>
              <w:ind w:firstLine="48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项目所在地区域无天然植被，生态环境主要为人工环境，敏感性低，生物多样性较差，生态自身调控能力一般，受人为干扰强烈。评价范围内未发现国家级保护植物、省级保护植物及区域狭域物种、古树名木分布，也未发现国家级和云南省级重点保护野生动物分布，亦无其他珍稀濒危物种和地区特有种类分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Align w:val="center"/>
          </w:tcPr>
          <w:p>
            <w:pPr>
              <w:pStyle w:val="45"/>
              <w:bidi w:val="0"/>
              <w:rPr>
                <w:rFonts w:hint="default" w:ascii="Times New Roman" w:hAnsi="Times New Roman" w:cs="Times New Roman"/>
              </w:rPr>
            </w:pPr>
            <w:r>
              <w:rPr>
                <w:rFonts w:hint="default" w:ascii="Times New Roman" w:hAnsi="Times New Roman" w:cs="Times New Roman"/>
              </w:rPr>
              <w:t>环境</w:t>
            </w:r>
          </w:p>
          <w:p>
            <w:pPr>
              <w:pStyle w:val="45"/>
              <w:bidi w:val="0"/>
              <w:rPr>
                <w:rFonts w:hint="default" w:ascii="Times New Roman" w:hAnsi="Times New Roman" w:cs="Times New Roman"/>
              </w:rPr>
            </w:pPr>
            <w:r>
              <w:rPr>
                <w:rFonts w:hint="default" w:ascii="Times New Roman" w:hAnsi="Times New Roman" w:cs="Times New Roman"/>
              </w:rPr>
              <w:t>保护</w:t>
            </w:r>
          </w:p>
          <w:p>
            <w:pPr>
              <w:pStyle w:val="45"/>
              <w:bidi w:val="0"/>
              <w:rPr>
                <w:rFonts w:hint="default" w:ascii="Times New Roman" w:hAnsi="Times New Roman" w:cs="Times New Roman"/>
                <w:color w:val="auto"/>
                <w:kern w:val="0"/>
                <w:szCs w:val="21"/>
              </w:rPr>
            </w:pPr>
            <w:r>
              <w:rPr>
                <w:rFonts w:hint="default" w:ascii="Times New Roman" w:hAnsi="Times New Roman" w:cs="Times New Roman"/>
              </w:rPr>
              <w:t>目标</w:t>
            </w:r>
          </w:p>
        </w:tc>
        <w:tc>
          <w:tcPr>
            <w:tcW w:w="8352" w:type="dxa"/>
            <w:vAlign w:val="center"/>
          </w:tcPr>
          <w:p>
            <w:pPr>
              <w:bidi w:val="0"/>
              <w:rPr>
                <w:rFonts w:hint="default" w:ascii="Times New Roman" w:hAnsi="Times New Roman" w:cs="Times New Roman"/>
              </w:rPr>
            </w:pPr>
            <w:r>
              <w:rPr>
                <w:rFonts w:hint="default" w:ascii="Times New Roman" w:hAnsi="Times New Roman" w:cs="Times New Roman"/>
              </w:rPr>
              <w:t>本项目位于云南省玉溪市澄江市龙街街道办事处提古社区提古一组（云南鑫成鹏高分子科技有限公司3号厂房内），根据现场调查，</w:t>
            </w:r>
          </w:p>
          <w:p>
            <w:pPr>
              <w:bidi w:val="0"/>
              <w:rPr>
                <w:rFonts w:hint="default" w:ascii="Times New Roman" w:hAnsi="Times New Roman" w:cs="Times New Roman"/>
              </w:rPr>
            </w:pPr>
            <w:r>
              <w:rPr>
                <w:rFonts w:hint="default" w:ascii="Times New Roman" w:hAnsi="Times New Roman" w:cs="Times New Roman"/>
              </w:rPr>
              <w:t>1、大气环境：厂界外500m范围内有农村地区（提古村散户）大气环境保护目标。</w:t>
            </w:r>
          </w:p>
          <w:p>
            <w:pPr>
              <w:bidi w:val="0"/>
              <w:rPr>
                <w:rFonts w:hint="default" w:ascii="Times New Roman" w:hAnsi="Times New Roman" w:cs="Times New Roman"/>
              </w:rPr>
            </w:pPr>
            <w:r>
              <w:rPr>
                <w:rFonts w:hint="default" w:ascii="Times New Roman" w:hAnsi="Times New Roman" w:cs="Times New Roman"/>
              </w:rPr>
              <w:t>2、声环境：根据现场调查，项目周围50m范围内有声环境（提古村散户）保护目标。</w:t>
            </w:r>
          </w:p>
          <w:p>
            <w:pPr>
              <w:bidi w:val="0"/>
              <w:rPr>
                <w:rFonts w:hint="default" w:ascii="Times New Roman" w:hAnsi="Times New Roman" w:cs="Times New Roman"/>
              </w:rPr>
            </w:pPr>
            <w:r>
              <w:rPr>
                <w:rFonts w:hint="default" w:ascii="Times New Roman" w:hAnsi="Times New Roman" w:cs="Times New Roman"/>
              </w:rPr>
              <w:t>3、地下水环境：厂界外500m范围内无地下水集中式饮用水水源和热水、矿泉水、温泉等特殊地下水资源。</w:t>
            </w:r>
          </w:p>
          <w:p>
            <w:pPr>
              <w:bidi w:val="0"/>
              <w:rPr>
                <w:rFonts w:hint="default" w:ascii="Times New Roman" w:hAnsi="Times New Roman" w:cs="Times New Roman"/>
              </w:rPr>
            </w:pPr>
            <w:r>
              <w:rPr>
                <w:rFonts w:hint="default" w:ascii="Times New Roman" w:hAnsi="Times New Roman" w:cs="Times New Roman"/>
              </w:rPr>
              <w:t>4、生态环境：项目区域主要分布绿化植物及农作物、苗圃地等，不涉及HJ19-2011《环境影响评价技术导则生态环境》涉及的特殊生态敏感区、重要生态敏感区等生态环境保护目标。</w:t>
            </w:r>
          </w:p>
          <w:p>
            <w:pPr>
              <w:pStyle w:val="36"/>
              <w:bidi w:val="0"/>
              <w:rPr>
                <w:rFonts w:hint="default" w:ascii="Times New Roman" w:hAnsi="Times New Roman" w:cs="Times New Roman"/>
              </w:rPr>
            </w:pPr>
            <w:r>
              <w:rPr>
                <w:rFonts w:hint="default" w:ascii="Times New Roman" w:hAnsi="Times New Roman" w:cs="Times New Roman"/>
              </w:rPr>
              <w:t>表3-6项目主要环境保护目标一览表</w:t>
            </w:r>
          </w:p>
          <w:p>
            <w:pPr>
              <w:spacing w:line="25" w:lineRule="exact"/>
              <w:rPr>
                <w:rFonts w:hint="default" w:ascii="Times New Roman" w:hAnsi="Times New Roman" w:cs="Times New Roman"/>
              </w:rPr>
            </w:pPr>
          </w:p>
          <w:tbl>
            <w:tblPr>
              <w:tblStyle w:val="98"/>
              <w:tblW w:w="499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6"/>
              <w:gridCol w:w="896"/>
              <w:gridCol w:w="1003"/>
              <w:gridCol w:w="896"/>
              <w:gridCol w:w="846"/>
              <w:gridCol w:w="1013"/>
              <w:gridCol w:w="21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97" w:type="pct"/>
                  <w:vMerge w:val="restart"/>
                  <w:tcBorders>
                    <w:bottom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环境要素</w:t>
                  </w:r>
                </w:p>
              </w:tc>
              <w:tc>
                <w:tcPr>
                  <w:tcW w:w="551" w:type="pct"/>
                  <w:vMerge w:val="restart"/>
                  <w:tcBorders>
                    <w:bottom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保护目标名称</w:t>
                  </w:r>
                </w:p>
              </w:tc>
              <w:tc>
                <w:tcPr>
                  <w:tcW w:w="1169" w:type="pct"/>
                  <w:gridSpan w:val="2"/>
                  <w:vAlign w:val="center"/>
                </w:tcPr>
                <w:p>
                  <w:pPr>
                    <w:pStyle w:val="45"/>
                    <w:bidi w:val="0"/>
                    <w:jc w:val="center"/>
                    <w:rPr>
                      <w:rFonts w:hint="default" w:ascii="Times New Roman" w:hAnsi="Times New Roman" w:cs="Times New Roman"/>
                    </w:rPr>
                  </w:pPr>
                  <w:r>
                    <w:rPr>
                      <w:rFonts w:hint="default" w:ascii="Times New Roman" w:hAnsi="Times New Roman" w:cs="Times New Roman"/>
                    </w:rPr>
                    <w:t>保护目标坐标</w:t>
                  </w:r>
                </w:p>
              </w:tc>
              <w:tc>
                <w:tcPr>
                  <w:tcW w:w="520" w:type="pct"/>
                  <w:vMerge w:val="restart"/>
                  <w:tcBorders>
                    <w:bottom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方位及距离</w:t>
                  </w:r>
                </w:p>
              </w:tc>
              <w:tc>
                <w:tcPr>
                  <w:tcW w:w="623" w:type="pct"/>
                  <w:vMerge w:val="restart"/>
                  <w:tcBorders>
                    <w:bottom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保护规模</w:t>
                  </w:r>
                </w:p>
              </w:tc>
              <w:tc>
                <w:tcPr>
                  <w:tcW w:w="1336" w:type="pct"/>
                  <w:vMerge w:val="restart"/>
                  <w:tcBorders>
                    <w:bottom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保护级别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97" w:type="pct"/>
                  <w:vMerge w:val="continue"/>
                  <w:tcBorders>
                    <w:top w:val="nil"/>
                  </w:tcBorders>
                  <w:vAlign w:val="center"/>
                </w:tcPr>
                <w:p>
                  <w:pPr>
                    <w:pStyle w:val="45"/>
                    <w:bidi w:val="0"/>
                    <w:jc w:val="center"/>
                    <w:rPr>
                      <w:rFonts w:hint="default" w:ascii="Times New Roman" w:hAnsi="Times New Roman" w:cs="Times New Roman"/>
                    </w:rPr>
                  </w:pPr>
                </w:p>
              </w:tc>
              <w:tc>
                <w:tcPr>
                  <w:tcW w:w="551" w:type="pct"/>
                  <w:vMerge w:val="continue"/>
                  <w:tcBorders>
                    <w:top w:val="nil"/>
                  </w:tcBorders>
                  <w:vAlign w:val="center"/>
                </w:tcPr>
                <w:p>
                  <w:pPr>
                    <w:pStyle w:val="45"/>
                    <w:bidi w:val="0"/>
                    <w:jc w:val="center"/>
                    <w:rPr>
                      <w:rFonts w:hint="default" w:ascii="Times New Roman" w:hAnsi="Times New Roman" w:cs="Times New Roman"/>
                    </w:rPr>
                  </w:pPr>
                </w:p>
              </w:tc>
              <w:tc>
                <w:tcPr>
                  <w:tcW w:w="617" w:type="pct"/>
                  <w:vAlign w:val="center"/>
                </w:tcPr>
                <w:p>
                  <w:pPr>
                    <w:pStyle w:val="45"/>
                    <w:bidi w:val="0"/>
                    <w:jc w:val="center"/>
                    <w:rPr>
                      <w:rFonts w:hint="default" w:ascii="Times New Roman" w:hAnsi="Times New Roman" w:eastAsia="宋体" w:cs="Times New Roman"/>
                      <w:lang w:val="en-US" w:eastAsia="zh-CN"/>
                    </w:rPr>
                  </w:pPr>
                  <w:r>
                    <w:rPr>
                      <w:rFonts w:hint="default" w:ascii="Times New Roman" w:hAnsi="Times New Roman" w:cs="Times New Roman"/>
                    </w:rPr>
                    <w:t>经度</w:t>
                  </w:r>
                  <w:r>
                    <w:rPr>
                      <w:rFonts w:hint="default" w:ascii="Times New Roman" w:hAnsi="Times New Roman" w:cs="Times New Roman"/>
                      <w:lang w:val="en-US" w:eastAsia="zh-CN"/>
                    </w:rPr>
                    <w:t>/°</w:t>
                  </w:r>
                </w:p>
              </w:tc>
              <w:tc>
                <w:tcPr>
                  <w:tcW w:w="55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纬度</w:t>
                  </w:r>
                  <w:r>
                    <w:rPr>
                      <w:rFonts w:hint="default" w:ascii="Times New Roman" w:hAnsi="Times New Roman" w:cs="Times New Roman"/>
                      <w:lang w:val="en-US" w:eastAsia="zh-CN"/>
                    </w:rPr>
                    <w:t>/°</w:t>
                  </w:r>
                </w:p>
              </w:tc>
              <w:tc>
                <w:tcPr>
                  <w:tcW w:w="520" w:type="pct"/>
                  <w:vMerge w:val="continue"/>
                  <w:tcBorders>
                    <w:top w:val="nil"/>
                  </w:tcBorders>
                  <w:vAlign w:val="center"/>
                </w:tcPr>
                <w:p>
                  <w:pPr>
                    <w:pStyle w:val="45"/>
                    <w:bidi w:val="0"/>
                    <w:jc w:val="center"/>
                    <w:rPr>
                      <w:rFonts w:hint="default" w:ascii="Times New Roman" w:hAnsi="Times New Roman" w:cs="Times New Roman"/>
                    </w:rPr>
                  </w:pPr>
                </w:p>
              </w:tc>
              <w:tc>
                <w:tcPr>
                  <w:tcW w:w="623" w:type="pct"/>
                  <w:vMerge w:val="continue"/>
                  <w:tcBorders>
                    <w:top w:val="nil"/>
                  </w:tcBorders>
                  <w:vAlign w:val="center"/>
                </w:tcPr>
                <w:p>
                  <w:pPr>
                    <w:pStyle w:val="45"/>
                    <w:bidi w:val="0"/>
                    <w:jc w:val="center"/>
                    <w:rPr>
                      <w:rFonts w:hint="default" w:ascii="Times New Roman" w:hAnsi="Times New Roman" w:cs="Times New Roman"/>
                    </w:rPr>
                  </w:pPr>
                </w:p>
              </w:tc>
              <w:tc>
                <w:tcPr>
                  <w:tcW w:w="1336" w:type="pct"/>
                  <w:vMerge w:val="continue"/>
                  <w:tcBorders>
                    <w:top w:val="nil"/>
                  </w:tcBorders>
                  <w:vAlign w:val="center"/>
                </w:tcPr>
                <w:p>
                  <w:pPr>
                    <w:pStyle w:val="45"/>
                    <w:bidi w:val="0"/>
                    <w:jc w:val="cente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797" w:type="pct"/>
                  <w:vMerge w:val="restart"/>
                  <w:vAlign w:val="center"/>
                </w:tcPr>
                <w:p>
                  <w:pPr>
                    <w:pStyle w:val="45"/>
                    <w:bidi w:val="0"/>
                    <w:jc w:val="center"/>
                    <w:rPr>
                      <w:rFonts w:hint="default" w:ascii="Times New Roman" w:hAnsi="Times New Roman" w:cs="Times New Roman"/>
                    </w:rPr>
                  </w:pPr>
                  <w:r>
                    <w:rPr>
                      <w:rFonts w:hint="default" w:ascii="Times New Roman" w:hAnsi="Times New Roman" w:cs="Times New Roman"/>
                    </w:rPr>
                    <w:t>大气环境</w:t>
                  </w:r>
                </w:p>
              </w:tc>
              <w:tc>
                <w:tcPr>
                  <w:tcW w:w="55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提古村</w:t>
                  </w:r>
                </w:p>
              </w:tc>
              <w:tc>
                <w:tcPr>
                  <w:tcW w:w="61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102.7477</w:t>
                  </w:r>
                </w:p>
              </w:tc>
              <w:tc>
                <w:tcPr>
                  <w:tcW w:w="55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24.6774</w:t>
                  </w:r>
                </w:p>
              </w:tc>
              <w:tc>
                <w:tcPr>
                  <w:tcW w:w="52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西/30m</w:t>
                  </w:r>
                </w:p>
              </w:tc>
              <w:tc>
                <w:tcPr>
                  <w:tcW w:w="623"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约700人</w:t>
                  </w:r>
                </w:p>
              </w:tc>
              <w:tc>
                <w:tcPr>
                  <w:tcW w:w="1336" w:type="pct"/>
                  <w:vMerge w:val="restart"/>
                  <w:vAlign w:val="center"/>
                </w:tcPr>
                <w:p>
                  <w:pPr>
                    <w:pStyle w:val="45"/>
                    <w:bidi w:val="0"/>
                    <w:jc w:val="center"/>
                    <w:rPr>
                      <w:rFonts w:hint="default" w:ascii="Times New Roman" w:hAnsi="Times New Roman" w:cs="Times New Roman"/>
                    </w:rPr>
                  </w:pPr>
                  <w:r>
                    <w:rPr>
                      <w:rFonts w:hint="default" w:ascii="Times New Roman" w:hAnsi="Times New Roman" w:cs="Times New Roman"/>
                    </w:rPr>
                    <w:t>《环境空气质量标准》</w:t>
                  </w:r>
                </w:p>
                <w:p>
                  <w:pPr>
                    <w:pStyle w:val="45"/>
                    <w:bidi w:val="0"/>
                    <w:jc w:val="center"/>
                    <w:rPr>
                      <w:rFonts w:hint="default" w:ascii="Times New Roman" w:hAnsi="Times New Roman" w:cs="Times New Roman"/>
                    </w:rPr>
                  </w:pPr>
                  <w:r>
                    <w:rPr>
                      <w:rFonts w:hint="default" w:ascii="Times New Roman" w:hAnsi="Times New Roman" w:cs="Times New Roman"/>
                    </w:rPr>
                    <w:t>GB3095-2012二级标</w:t>
                  </w:r>
                </w:p>
                <w:p>
                  <w:pPr>
                    <w:pStyle w:val="45"/>
                    <w:bidi w:val="0"/>
                    <w:jc w:val="center"/>
                    <w:rPr>
                      <w:rFonts w:hint="default" w:ascii="Times New Roman" w:hAnsi="Times New Roman" w:cs="Times New Roman"/>
                    </w:rPr>
                  </w:pPr>
                  <w:r>
                    <w:rPr>
                      <w:rFonts w:hint="default" w:ascii="Times New Roman" w:hAnsi="Times New Roman" w:cs="Times New Roman"/>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797" w:type="pct"/>
                  <w:vMerge w:val="continue"/>
                  <w:vAlign w:val="center"/>
                </w:tcPr>
                <w:p>
                  <w:pPr>
                    <w:pStyle w:val="45"/>
                    <w:bidi w:val="0"/>
                    <w:jc w:val="center"/>
                    <w:rPr>
                      <w:rFonts w:hint="default" w:ascii="Times New Roman" w:hAnsi="Times New Roman" w:cs="Times New Roman"/>
                    </w:rPr>
                  </w:pPr>
                </w:p>
              </w:tc>
              <w:tc>
                <w:tcPr>
                  <w:tcW w:w="551" w:type="pct"/>
                  <w:vAlign w:val="center"/>
                </w:tcPr>
                <w:p>
                  <w:pPr>
                    <w:pStyle w:val="45"/>
                    <w:bidi w:val="0"/>
                    <w:jc w:val="center"/>
                    <w:rPr>
                      <w:rFonts w:hint="eastAsia" w:ascii="Times New Roman" w:hAnsi="Times New Roman" w:eastAsia="宋体" w:cs="Times New Roman"/>
                      <w:lang w:val="en-US" w:eastAsia="zh-CN"/>
                    </w:rPr>
                  </w:pPr>
                  <w:r>
                    <w:rPr>
                      <w:rFonts w:hint="default" w:ascii="Times New Roman" w:hAnsi="Times New Roman" w:cs="Times New Roman"/>
                    </w:rPr>
                    <w:t>提古村</w:t>
                  </w:r>
                  <w:r>
                    <w:rPr>
                      <w:rFonts w:hint="eastAsia" w:ascii="Times New Roman" w:hAnsi="Times New Roman" w:cs="Times New Roman"/>
                      <w:lang w:val="en-US" w:eastAsia="zh-CN"/>
                    </w:rPr>
                    <w:t>小学</w:t>
                  </w:r>
                </w:p>
              </w:tc>
              <w:tc>
                <w:tcPr>
                  <w:tcW w:w="617" w:type="pct"/>
                  <w:vAlign w:val="center"/>
                </w:tcPr>
                <w:p>
                  <w:pPr>
                    <w:pStyle w:val="45"/>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102.8494</w:t>
                  </w:r>
                </w:p>
              </w:tc>
              <w:tc>
                <w:tcPr>
                  <w:tcW w:w="551" w:type="pct"/>
                  <w:vAlign w:val="center"/>
                </w:tcPr>
                <w:p>
                  <w:pPr>
                    <w:pStyle w:val="45"/>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24.7429</w:t>
                  </w:r>
                </w:p>
              </w:tc>
              <w:tc>
                <w:tcPr>
                  <w:tcW w:w="520" w:type="pct"/>
                  <w:vAlign w:val="center"/>
                </w:tcPr>
                <w:p>
                  <w:pPr>
                    <w:pStyle w:val="45"/>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西南/350m</w:t>
                  </w:r>
                </w:p>
              </w:tc>
              <w:tc>
                <w:tcPr>
                  <w:tcW w:w="623"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约</w:t>
                  </w:r>
                  <w:r>
                    <w:rPr>
                      <w:rFonts w:hint="eastAsia" w:ascii="Times New Roman" w:hAnsi="Times New Roman" w:cs="Times New Roman"/>
                      <w:lang w:val="en-US" w:eastAsia="zh-CN"/>
                    </w:rPr>
                    <w:t>1200</w:t>
                  </w:r>
                  <w:r>
                    <w:rPr>
                      <w:rFonts w:hint="default" w:ascii="Times New Roman" w:hAnsi="Times New Roman" w:cs="Times New Roman"/>
                    </w:rPr>
                    <w:t>人</w:t>
                  </w:r>
                </w:p>
              </w:tc>
              <w:tc>
                <w:tcPr>
                  <w:tcW w:w="1336" w:type="pct"/>
                  <w:vMerge w:val="continue"/>
                  <w:vAlign w:val="center"/>
                </w:tcPr>
                <w:p>
                  <w:pPr>
                    <w:pStyle w:val="45"/>
                    <w:bidi w:val="0"/>
                    <w:jc w:val="cente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79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声环境</w:t>
                  </w:r>
                </w:p>
              </w:tc>
              <w:tc>
                <w:tcPr>
                  <w:tcW w:w="55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提古村</w:t>
                  </w:r>
                </w:p>
              </w:tc>
              <w:tc>
                <w:tcPr>
                  <w:tcW w:w="61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102.7477</w:t>
                  </w:r>
                </w:p>
              </w:tc>
              <w:tc>
                <w:tcPr>
                  <w:tcW w:w="55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24.6774</w:t>
                  </w:r>
                </w:p>
              </w:tc>
              <w:tc>
                <w:tcPr>
                  <w:tcW w:w="52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西/30m</w:t>
                  </w:r>
                </w:p>
              </w:tc>
              <w:tc>
                <w:tcPr>
                  <w:tcW w:w="623"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约700人</w:t>
                  </w:r>
                </w:p>
              </w:tc>
              <w:tc>
                <w:tcPr>
                  <w:tcW w:w="1336"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《声环境质量标准</w:t>
                  </w:r>
                </w:p>
                <w:p>
                  <w:pPr>
                    <w:pStyle w:val="45"/>
                    <w:bidi w:val="0"/>
                    <w:jc w:val="center"/>
                    <w:rPr>
                      <w:rFonts w:hint="default" w:ascii="Times New Roman" w:hAnsi="Times New Roman" w:cs="Times New Roman"/>
                    </w:rPr>
                  </w:pPr>
                  <w:r>
                    <w:rPr>
                      <w:rFonts w:hint="default" w:ascii="Times New Roman" w:hAnsi="Times New Roman" w:cs="Times New Roman"/>
                    </w:rPr>
                    <w:t>（GB3096-2008）》2类标准。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9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生态环境</w:t>
                  </w:r>
                </w:p>
              </w:tc>
              <w:tc>
                <w:tcPr>
                  <w:tcW w:w="55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无</w:t>
                  </w:r>
                </w:p>
              </w:tc>
              <w:tc>
                <w:tcPr>
                  <w:tcW w:w="61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w:t>
                  </w:r>
                </w:p>
              </w:tc>
              <w:tc>
                <w:tcPr>
                  <w:tcW w:w="55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w:t>
                  </w:r>
                </w:p>
              </w:tc>
              <w:tc>
                <w:tcPr>
                  <w:tcW w:w="52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w:t>
                  </w:r>
                </w:p>
              </w:tc>
              <w:tc>
                <w:tcPr>
                  <w:tcW w:w="623"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w:t>
                  </w:r>
                </w:p>
              </w:tc>
              <w:tc>
                <w:tcPr>
                  <w:tcW w:w="1336"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9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地下水环境</w:t>
                  </w:r>
                </w:p>
              </w:tc>
              <w:tc>
                <w:tcPr>
                  <w:tcW w:w="55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无</w:t>
                  </w:r>
                </w:p>
              </w:tc>
              <w:tc>
                <w:tcPr>
                  <w:tcW w:w="61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w:t>
                  </w:r>
                </w:p>
              </w:tc>
              <w:tc>
                <w:tcPr>
                  <w:tcW w:w="55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w:t>
                  </w:r>
                </w:p>
              </w:tc>
              <w:tc>
                <w:tcPr>
                  <w:tcW w:w="52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w:t>
                  </w:r>
                </w:p>
              </w:tc>
              <w:tc>
                <w:tcPr>
                  <w:tcW w:w="623"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w:t>
                  </w:r>
                </w:p>
              </w:tc>
              <w:tc>
                <w:tcPr>
                  <w:tcW w:w="1336"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w:t>
                  </w:r>
                </w:p>
              </w:tc>
            </w:tr>
          </w:tbl>
          <w:p>
            <w:pPr>
              <w:pStyle w:val="36"/>
              <w:bidi w:val="0"/>
              <w:rPr>
                <w:rFonts w:hint="default" w:ascii="Times New Roman" w:hAnsi="Times New Roman" w:cs="Times New Roman"/>
              </w:rPr>
            </w:pPr>
            <w:r>
              <w:rPr>
                <w:rFonts w:hint="default" w:ascii="Times New Roman" w:hAnsi="Times New Roman" w:cs="Times New Roman"/>
              </w:rPr>
              <w:t>表3-7项目建设区域主要环境保护目标一览表</w:t>
            </w:r>
          </w:p>
          <w:tbl>
            <w:tblPr>
              <w:tblStyle w:val="9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1"/>
              <w:gridCol w:w="1477"/>
              <w:gridCol w:w="1005"/>
              <w:gridCol w:w="1498"/>
              <w:gridCol w:w="634"/>
              <w:gridCol w:w="24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83"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保护类别</w:t>
                  </w:r>
                </w:p>
              </w:tc>
              <w:tc>
                <w:tcPr>
                  <w:tcW w:w="90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保护目标</w:t>
                  </w:r>
                </w:p>
              </w:tc>
              <w:tc>
                <w:tcPr>
                  <w:tcW w:w="61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性质</w:t>
                  </w:r>
                </w:p>
              </w:tc>
              <w:tc>
                <w:tcPr>
                  <w:tcW w:w="92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与本项目距离</w:t>
                  </w:r>
                </w:p>
              </w:tc>
              <w:tc>
                <w:tcPr>
                  <w:tcW w:w="39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方位</w:t>
                  </w:r>
                </w:p>
              </w:tc>
              <w:tc>
                <w:tcPr>
                  <w:tcW w:w="147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保护级别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683"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水环境</w:t>
                  </w:r>
                </w:p>
              </w:tc>
              <w:tc>
                <w:tcPr>
                  <w:tcW w:w="908" w:type="pct"/>
                  <w:vAlign w:val="center"/>
                </w:tcPr>
                <w:p>
                  <w:pPr>
                    <w:pStyle w:val="45"/>
                    <w:bidi w:val="0"/>
                    <w:jc w:val="center"/>
                    <w:rPr>
                      <w:rFonts w:hint="default" w:ascii="Times New Roman" w:hAnsi="Times New Roman" w:eastAsia="宋体" w:cs="Times New Roman"/>
                      <w:lang w:eastAsia="zh-CN"/>
                    </w:rPr>
                  </w:pPr>
                  <w:r>
                    <w:rPr>
                      <w:rFonts w:hint="default" w:ascii="Times New Roman" w:hAnsi="Times New Roman" w:cs="Times New Roman"/>
                      <w:lang w:val="en-US" w:eastAsia="zh-CN"/>
                    </w:rPr>
                    <w:t>梁王河</w:t>
                  </w:r>
                </w:p>
              </w:tc>
              <w:tc>
                <w:tcPr>
                  <w:tcW w:w="61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河流</w:t>
                  </w:r>
                </w:p>
              </w:tc>
              <w:tc>
                <w:tcPr>
                  <w:tcW w:w="92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4.88km</w:t>
                  </w:r>
                </w:p>
              </w:tc>
              <w:tc>
                <w:tcPr>
                  <w:tcW w:w="390" w:type="pct"/>
                  <w:vAlign w:val="center"/>
                </w:tcPr>
                <w:p>
                  <w:pPr>
                    <w:pStyle w:val="45"/>
                    <w:bidi w:val="0"/>
                    <w:jc w:val="center"/>
                    <w:rPr>
                      <w:rFonts w:hint="default" w:ascii="Times New Roman" w:hAnsi="Times New Roman" w:eastAsia="宋体" w:cs="Times New Roman"/>
                      <w:lang w:eastAsia="zh-CN"/>
                    </w:rPr>
                  </w:pPr>
                  <w:r>
                    <w:rPr>
                      <w:rFonts w:hint="default" w:ascii="Times New Roman" w:hAnsi="Times New Roman" w:cs="Times New Roman"/>
                      <w:lang w:val="en-US" w:eastAsia="zh-CN"/>
                    </w:rPr>
                    <w:t>北侧</w:t>
                  </w:r>
                </w:p>
              </w:tc>
              <w:tc>
                <w:tcPr>
                  <w:tcW w:w="147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《地表水环境质量标准》（GB3838-2002）Ⅱ类</w:t>
                  </w:r>
                </w:p>
              </w:tc>
            </w:tr>
          </w:tbl>
          <w:p>
            <w:pPr>
              <w:pStyle w:val="65"/>
              <w:rPr>
                <w:rFonts w:hint="default" w:ascii="Times New Roman" w:hAnsi="Times New Roman"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tcMar>
              <w:left w:w="28" w:type="dxa"/>
              <w:right w:w="28" w:type="dxa"/>
            </w:tcMar>
            <w:vAlign w:val="center"/>
          </w:tcPr>
          <w:p>
            <w:pPr>
              <w:pStyle w:val="45"/>
              <w:bidi w:val="0"/>
              <w:rPr>
                <w:rFonts w:hint="default" w:ascii="Times New Roman" w:hAnsi="Times New Roman" w:cs="Times New Roman"/>
              </w:rPr>
            </w:pPr>
            <w:r>
              <w:rPr>
                <w:rFonts w:hint="default" w:ascii="Times New Roman" w:hAnsi="Times New Roman" w:cs="Times New Roman"/>
              </w:rPr>
              <w:t>污染</w:t>
            </w:r>
          </w:p>
          <w:p>
            <w:pPr>
              <w:pStyle w:val="45"/>
              <w:bidi w:val="0"/>
              <w:rPr>
                <w:rFonts w:hint="default" w:ascii="Times New Roman" w:hAnsi="Times New Roman" w:cs="Times New Roman"/>
              </w:rPr>
            </w:pPr>
            <w:r>
              <w:rPr>
                <w:rFonts w:hint="default" w:ascii="Times New Roman" w:hAnsi="Times New Roman" w:cs="Times New Roman"/>
              </w:rPr>
              <w:t>物排</w:t>
            </w:r>
          </w:p>
          <w:p>
            <w:pPr>
              <w:pStyle w:val="45"/>
              <w:bidi w:val="0"/>
              <w:rPr>
                <w:rFonts w:hint="default" w:ascii="Times New Roman" w:hAnsi="Times New Roman" w:cs="Times New Roman"/>
              </w:rPr>
            </w:pPr>
            <w:r>
              <w:rPr>
                <w:rFonts w:hint="default" w:ascii="Times New Roman" w:hAnsi="Times New Roman" w:cs="Times New Roman"/>
              </w:rPr>
              <w:t>放控</w:t>
            </w:r>
          </w:p>
          <w:p>
            <w:pPr>
              <w:pStyle w:val="45"/>
              <w:bidi w:val="0"/>
              <w:rPr>
                <w:rFonts w:hint="default" w:ascii="Times New Roman" w:hAnsi="Times New Roman" w:cs="Times New Roman"/>
              </w:rPr>
            </w:pPr>
            <w:r>
              <w:rPr>
                <w:rFonts w:hint="default" w:ascii="Times New Roman" w:hAnsi="Times New Roman" w:cs="Times New Roman"/>
              </w:rPr>
              <w:t>制标</w:t>
            </w:r>
          </w:p>
          <w:p>
            <w:pPr>
              <w:pStyle w:val="45"/>
              <w:bidi w:val="0"/>
              <w:rPr>
                <w:rFonts w:hint="default" w:ascii="Times New Roman" w:hAnsi="Times New Roman" w:cs="Times New Roman"/>
              </w:rPr>
            </w:pPr>
            <w:r>
              <w:rPr>
                <w:rFonts w:hint="default" w:ascii="Times New Roman" w:hAnsi="Times New Roman" w:cs="Times New Roman"/>
              </w:rPr>
              <w:t>准</w:t>
            </w:r>
          </w:p>
        </w:tc>
        <w:tc>
          <w:tcPr>
            <w:tcW w:w="8352" w:type="dxa"/>
            <w:vAlign w:val="center"/>
          </w:tcPr>
          <w:p>
            <w:pPr>
              <w:pStyle w:val="14"/>
              <w:adjustRightInd w:val="0"/>
              <w:snapToGrid w:val="0"/>
              <w:spacing w:line="360" w:lineRule="auto"/>
              <w:ind w:firstLine="482" w:firstLineChars="200"/>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1、废气</w:t>
            </w:r>
          </w:p>
          <w:p>
            <w:pPr>
              <w:adjustRightInd w:val="0"/>
              <w:snapToGrid w:val="0"/>
              <w:spacing w:line="360" w:lineRule="auto"/>
              <w:ind w:firstLine="48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（1）施工期</w:t>
            </w:r>
          </w:p>
          <w:p>
            <w:pPr>
              <w:spacing w:line="360" w:lineRule="auto"/>
              <w:ind w:firstLine="480"/>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color w:val="auto"/>
                <w:szCs w:val="21"/>
              </w:rPr>
              <w:t>施工期无组织粉尘执行《大气污染物综合排放标准》（GB16297-1996）表2中颗粒物无组织排放监控浓度限值要求。</w:t>
            </w:r>
          </w:p>
          <w:p>
            <w:pPr>
              <w:pStyle w:val="36"/>
              <w:bidi w:val="0"/>
              <w:rPr>
                <w:rFonts w:hint="default" w:ascii="Times New Roman" w:hAnsi="Times New Roman" w:cs="Times New Roman"/>
              </w:rPr>
            </w:pPr>
            <w:r>
              <w:rPr>
                <w:rFonts w:hint="default" w:ascii="Times New Roman" w:hAnsi="Times New Roman" w:cs="Times New Roman"/>
              </w:rPr>
              <w:t>表3-</w:t>
            </w:r>
            <w:r>
              <w:rPr>
                <w:rFonts w:hint="default" w:ascii="Times New Roman" w:hAnsi="Times New Roman" w:cs="Times New Roman"/>
                <w:lang w:val="en-US" w:eastAsia="zh-CN"/>
              </w:rPr>
              <w:t>8</w:t>
            </w:r>
            <w:r>
              <w:rPr>
                <w:rFonts w:hint="default" w:ascii="Times New Roman" w:hAnsi="Times New Roman" w:cs="Times New Roman"/>
              </w:rPr>
              <w:t>无组织颗粒物排放标准</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5"/>
              <w:gridCol w:w="2576"/>
              <w:gridCol w:w="3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5" w:type="pct"/>
                  <w:vMerge w:val="restart"/>
                  <w:vAlign w:val="center"/>
                </w:tcPr>
                <w:p>
                  <w:pPr>
                    <w:pStyle w:val="45"/>
                    <w:bidi w:val="0"/>
                    <w:rPr>
                      <w:rFonts w:hint="default" w:ascii="Times New Roman" w:hAnsi="Times New Roman" w:cs="Times New Roman"/>
                    </w:rPr>
                  </w:pPr>
                  <w:r>
                    <w:rPr>
                      <w:rFonts w:hint="default" w:ascii="Times New Roman" w:hAnsi="Times New Roman" w:cs="Times New Roman"/>
                    </w:rPr>
                    <w:t>污染物</w:t>
                  </w:r>
                </w:p>
              </w:tc>
              <w:tc>
                <w:tcPr>
                  <w:tcW w:w="3654" w:type="pct"/>
                  <w:gridSpan w:val="2"/>
                  <w:vAlign w:val="center"/>
                </w:tcPr>
                <w:p>
                  <w:pPr>
                    <w:pStyle w:val="45"/>
                    <w:bidi w:val="0"/>
                    <w:rPr>
                      <w:rFonts w:hint="default" w:ascii="Times New Roman" w:hAnsi="Times New Roman" w:cs="Times New Roman"/>
                    </w:rPr>
                  </w:pPr>
                  <w:r>
                    <w:rPr>
                      <w:rFonts w:hint="default" w:ascii="Times New Roman" w:hAnsi="Times New Roman" w:cs="Times New Roman"/>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45" w:type="pct"/>
                  <w:vMerge w:val="continue"/>
                  <w:vAlign w:val="center"/>
                </w:tcPr>
                <w:p>
                  <w:pPr>
                    <w:pStyle w:val="45"/>
                    <w:bidi w:val="0"/>
                    <w:rPr>
                      <w:rFonts w:hint="default" w:ascii="Times New Roman" w:hAnsi="Times New Roman" w:cs="Times New Roman"/>
                    </w:rPr>
                  </w:pPr>
                </w:p>
              </w:tc>
              <w:tc>
                <w:tcPr>
                  <w:tcW w:w="1585" w:type="pct"/>
                  <w:vAlign w:val="center"/>
                </w:tcPr>
                <w:p>
                  <w:pPr>
                    <w:pStyle w:val="45"/>
                    <w:bidi w:val="0"/>
                    <w:rPr>
                      <w:rFonts w:hint="default" w:ascii="Times New Roman" w:hAnsi="Times New Roman" w:cs="Times New Roman"/>
                    </w:rPr>
                  </w:pPr>
                  <w:r>
                    <w:rPr>
                      <w:rFonts w:hint="default" w:ascii="Times New Roman" w:hAnsi="Times New Roman" w:cs="Times New Roman"/>
                    </w:rPr>
                    <w:t>监控点</w:t>
                  </w:r>
                </w:p>
              </w:tc>
              <w:tc>
                <w:tcPr>
                  <w:tcW w:w="2068" w:type="pct"/>
                  <w:vAlign w:val="center"/>
                </w:tcPr>
                <w:p>
                  <w:pPr>
                    <w:pStyle w:val="45"/>
                    <w:bidi w:val="0"/>
                    <w:rPr>
                      <w:rFonts w:hint="default" w:ascii="Times New Roman" w:hAnsi="Times New Roman" w:cs="Times New Roman"/>
                    </w:rPr>
                  </w:pPr>
                  <w:r>
                    <w:rPr>
                      <w:rFonts w:hint="default" w:ascii="Times New Roman" w:hAnsi="Times New Roman" w:cs="Times New Roman"/>
                    </w:rPr>
                    <w:t>浓度（mg/</w:t>
                  </w:r>
                  <w:r>
                    <w:rPr>
                      <w:rFonts w:hint="default" w:ascii="Times New Roman" w:hAnsi="Times New Roman" w:cs="Times New Roman"/>
                      <w:lang w:eastAsia="zh-CN"/>
                    </w:rPr>
                    <w:t>m³</w:t>
                  </w: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5" w:type="pct"/>
                  <w:vAlign w:val="center"/>
                </w:tcPr>
                <w:p>
                  <w:pPr>
                    <w:pStyle w:val="45"/>
                    <w:bidi w:val="0"/>
                    <w:rPr>
                      <w:rFonts w:hint="default" w:ascii="Times New Roman" w:hAnsi="Times New Roman" w:cs="Times New Roman"/>
                    </w:rPr>
                  </w:pPr>
                  <w:r>
                    <w:rPr>
                      <w:rFonts w:hint="default" w:ascii="Times New Roman" w:hAnsi="Times New Roman" w:cs="Times New Roman"/>
                    </w:rPr>
                    <w:t>颗粒物</w:t>
                  </w:r>
                </w:p>
              </w:tc>
              <w:tc>
                <w:tcPr>
                  <w:tcW w:w="1585" w:type="pct"/>
                  <w:vAlign w:val="center"/>
                </w:tcPr>
                <w:p>
                  <w:pPr>
                    <w:pStyle w:val="45"/>
                    <w:bidi w:val="0"/>
                    <w:rPr>
                      <w:rFonts w:hint="default" w:ascii="Times New Roman" w:hAnsi="Times New Roman" w:cs="Times New Roman"/>
                    </w:rPr>
                  </w:pPr>
                  <w:r>
                    <w:rPr>
                      <w:rFonts w:hint="default" w:ascii="Times New Roman" w:hAnsi="Times New Roman" w:cs="Times New Roman"/>
                    </w:rPr>
                    <w:t>周界外浓度最高点</w:t>
                  </w:r>
                </w:p>
              </w:tc>
              <w:tc>
                <w:tcPr>
                  <w:tcW w:w="2068" w:type="pct"/>
                  <w:vAlign w:val="center"/>
                </w:tcPr>
                <w:p>
                  <w:pPr>
                    <w:pStyle w:val="45"/>
                    <w:bidi w:val="0"/>
                    <w:rPr>
                      <w:rFonts w:hint="default" w:ascii="Times New Roman" w:hAnsi="Times New Roman" w:cs="Times New Roman"/>
                    </w:rPr>
                  </w:pPr>
                  <w:r>
                    <w:rPr>
                      <w:rFonts w:hint="default" w:ascii="Times New Roman" w:hAnsi="Times New Roman" w:cs="Times New Roman"/>
                    </w:rPr>
                    <w:t>1.0</w:t>
                  </w:r>
                </w:p>
              </w:tc>
            </w:tr>
          </w:tbl>
          <w:p>
            <w:pPr>
              <w:adjustRightInd w:val="0"/>
              <w:snapToGrid w:val="0"/>
              <w:spacing w:line="360" w:lineRule="auto"/>
              <w:ind w:firstLine="480" w:firstLineChars="200"/>
              <w:textAlignment w:val="baseline"/>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（2）运营期</w:t>
            </w:r>
          </w:p>
          <w:p>
            <w:pPr>
              <w:bidi w:val="0"/>
              <w:rPr>
                <w:rFonts w:hint="default" w:ascii="Times New Roman" w:hAnsi="Times New Roman" w:cs="Times New Roman"/>
              </w:rPr>
            </w:pPr>
            <w:r>
              <w:rPr>
                <w:rFonts w:hint="default" w:ascii="Times New Roman" w:hAnsi="Times New Roman" w:cs="Times New Roman"/>
              </w:rPr>
              <w:t>本项目排放的废气主要为中空玻璃密封</w:t>
            </w:r>
            <w:r>
              <w:rPr>
                <w:rFonts w:hint="default" w:ascii="Times New Roman" w:hAnsi="Times New Roman" w:cs="Times New Roman"/>
                <w:lang w:eastAsia="zh-CN"/>
              </w:rPr>
              <w:t>、</w:t>
            </w:r>
            <w:r>
              <w:rPr>
                <w:rFonts w:hint="default" w:ascii="Times New Roman" w:hAnsi="Times New Roman" w:cs="Times New Roman"/>
                <w:lang w:val="en-US" w:eastAsia="zh-CN"/>
              </w:rPr>
              <w:t>合片</w:t>
            </w:r>
            <w:r>
              <w:rPr>
                <w:rFonts w:hint="default" w:ascii="Times New Roman" w:hAnsi="Times New Roman" w:cs="Times New Roman"/>
              </w:rPr>
              <w:t>工序产生的有机废气（以非甲烷总烃计）、甲苯、二甲苯。</w:t>
            </w:r>
          </w:p>
          <w:p>
            <w:pPr>
              <w:bidi w:val="0"/>
              <w:rPr>
                <w:rFonts w:hint="default" w:ascii="Times New Roman" w:hAnsi="Times New Roman" w:cs="Times New Roman"/>
              </w:rPr>
            </w:pPr>
            <w:r>
              <w:rPr>
                <w:rFonts w:hint="default" w:ascii="Times New Roman" w:hAnsi="Times New Roman" w:cs="Times New Roman"/>
              </w:rPr>
              <w:t>（1）有组织</w:t>
            </w:r>
          </w:p>
          <w:p>
            <w:pPr>
              <w:bidi w:val="0"/>
              <w:rPr>
                <w:rFonts w:hint="default" w:ascii="Times New Roman" w:hAnsi="Times New Roman" w:cs="Times New Roman"/>
              </w:rPr>
            </w:pPr>
            <w:r>
              <w:rPr>
                <w:rFonts w:hint="default" w:ascii="Times New Roman" w:hAnsi="Times New Roman" w:cs="Times New Roman"/>
              </w:rPr>
              <w:t>项目共设置1根15m高的排气筒。</w:t>
            </w:r>
          </w:p>
          <w:p>
            <w:pPr>
              <w:bidi w:val="0"/>
              <w:rPr>
                <w:rFonts w:hint="default" w:ascii="Times New Roman" w:hAnsi="Times New Roman" w:cs="Times New Roman"/>
              </w:rPr>
            </w:pPr>
            <w:r>
              <w:rPr>
                <w:rFonts w:hint="default" w:ascii="Times New Roman" w:hAnsi="Times New Roman" w:cs="Times New Roman"/>
              </w:rPr>
              <w:t>①DA001排气筒排放中空玻璃密封工序采用丁基胶作为第一道密封胶（内道密封）和双组份硅酮结构密封胶作为第二道密封胶过程中产生的有机废气（以非甲烷总烃计）、甲苯、二甲苯执行《《大气污染物综合排放标准》（GB16297—1996）表2中二级标准限值，见表3-12。</w:t>
            </w:r>
          </w:p>
          <w:p>
            <w:pPr>
              <w:bidi w:val="0"/>
              <w:rPr>
                <w:rFonts w:hint="default" w:ascii="Times New Roman" w:hAnsi="Times New Roman" w:cs="Times New Roman"/>
              </w:rPr>
            </w:pPr>
            <w:r>
              <w:rPr>
                <w:rFonts w:hint="default" w:ascii="Times New Roman" w:hAnsi="Times New Roman" w:cs="Times New Roman"/>
              </w:rPr>
              <w:t>根据《大气污染物综合排放标准》（GB16297-1996）中规定“排气筒高度要高于200m半径范围的建筑物5m以上，不能达到该要求的排气筒应按其高度对应的排放速率标准值严格50%”。本项目排气筒未高出200m半径范围的建筑物5m以上，故本项目排放速率标准值严格50%执行，DA001排放的二甲苯排放速率为0.5kg/h；挥发性有机物（以非甲烷总烃计）的排放速率为5kg/h、甲苯的排放速率为1.55kg/h。</w:t>
            </w:r>
          </w:p>
          <w:p>
            <w:pPr>
              <w:snapToGrid w:val="0"/>
              <w:spacing w:line="360" w:lineRule="auto"/>
              <w:ind w:firstLine="48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项目标准值见表3-8。</w:t>
            </w:r>
          </w:p>
          <w:p>
            <w:pPr>
              <w:pStyle w:val="36"/>
              <w:bidi w:val="0"/>
              <w:rPr>
                <w:rFonts w:hint="default" w:ascii="Times New Roman" w:hAnsi="Times New Roman" w:cs="Times New Roman"/>
              </w:rPr>
            </w:pPr>
            <w:r>
              <w:rPr>
                <w:rFonts w:hint="default" w:ascii="Times New Roman" w:hAnsi="Times New Roman" w:cs="Times New Roman"/>
              </w:rPr>
              <w:t>表3-8大气污染物综合排放标准（表2）</w:t>
            </w:r>
          </w:p>
          <w:tbl>
            <w:tblPr>
              <w:tblStyle w:val="28"/>
              <w:tblW w:w="78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7"/>
              <w:gridCol w:w="1428"/>
              <w:gridCol w:w="1261"/>
              <w:gridCol w:w="1102"/>
              <w:gridCol w:w="910"/>
              <w:gridCol w:w="1100"/>
              <w:gridCol w:w="11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917" w:type="dxa"/>
                  <w:vMerge w:val="restart"/>
                  <w:shd w:val="clear" w:color="auto" w:fill="auto"/>
                  <w:vAlign w:val="center"/>
                </w:tcPr>
                <w:p>
                  <w:pPr>
                    <w:pStyle w:val="45"/>
                    <w:bidi w:val="0"/>
                    <w:rPr>
                      <w:rFonts w:hint="default" w:ascii="Times New Roman" w:hAnsi="Times New Roman" w:cs="Times New Roman"/>
                    </w:rPr>
                  </w:pPr>
                  <w:r>
                    <w:rPr>
                      <w:rFonts w:hint="default" w:ascii="Times New Roman" w:hAnsi="Times New Roman" w:cs="Times New Roman"/>
                    </w:rPr>
                    <w:t>排气筒</w:t>
                  </w:r>
                </w:p>
              </w:tc>
              <w:tc>
                <w:tcPr>
                  <w:tcW w:w="1428" w:type="dxa"/>
                  <w:vMerge w:val="restart"/>
                  <w:shd w:val="clear" w:color="auto" w:fill="auto"/>
                  <w:vAlign w:val="center"/>
                </w:tcPr>
                <w:p>
                  <w:pPr>
                    <w:pStyle w:val="45"/>
                    <w:bidi w:val="0"/>
                    <w:rPr>
                      <w:rFonts w:hint="default" w:ascii="Times New Roman" w:hAnsi="Times New Roman" w:cs="Times New Roman"/>
                    </w:rPr>
                  </w:pPr>
                  <w:r>
                    <w:rPr>
                      <w:rFonts w:hint="default" w:ascii="Times New Roman" w:hAnsi="Times New Roman" w:cs="Times New Roman"/>
                    </w:rPr>
                    <w:t>污染物项目</w:t>
                  </w:r>
                </w:p>
              </w:tc>
              <w:tc>
                <w:tcPr>
                  <w:tcW w:w="1261" w:type="dxa"/>
                  <w:vMerge w:val="restart"/>
                  <w:shd w:val="clear" w:color="auto" w:fill="auto"/>
                  <w:vAlign w:val="center"/>
                </w:tcPr>
                <w:p>
                  <w:pPr>
                    <w:pStyle w:val="45"/>
                    <w:bidi w:val="0"/>
                    <w:rPr>
                      <w:rFonts w:hint="default" w:ascii="Times New Roman" w:hAnsi="Times New Roman" w:cs="Times New Roman"/>
                    </w:rPr>
                  </w:pPr>
                  <w:r>
                    <w:rPr>
                      <w:rFonts w:hint="default" w:ascii="Times New Roman" w:hAnsi="Times New Roman" w:cs="Times New Roman"/>
                    </w:rPr>
                    <w:t>最高允许排放浓度（mg/</w:t>
                  </w:r>
                  <w:r>
                    <w:rPr>
                      <w:rFonts w:hint="default" w:ascii="Times New Roman" w:hAnsi="Times New Roman" w:cs="Times New Roman"/>
                      <w:lang w:eastAsia="zh-CN"/>
                    </w:rPr>
                    <w:t>m³</w:t>
                  </w:r>
                  <w:r>
                    <w:rPr>
                      <w:rFonts w:hint="default" w:ascii="Times New Roman" w:hAnsi="Times New Roman" w:cs="Times New Roman"/>
                    </w:rPr>
                    <w:t>）</w:t>
                  </w:r>
                </w:p>
              </w:tc>
              <w:tc>
                <w:tcPr>
                  <w:tcW w:w="3112" w:type="dxa"/>
                  <w:gridSpan w:val="3"/>
                  <w:shd w:val="clear" w:color="auto" w:fill="auto"/>
                </w:tcPr>
                <w:p>
                  <w:pPr>
                    <w:pStyle w:val="45"/>
                    <w:bidi w:val="0"/>
                    <w:rPr>
                      <w:rFonts w:hint="default" w:ascii="Times New Roman" w:hAnsi="Times New Roman" w:cs="Times New Roman"/>
                    </w:rPr>
                  </w:pPr>
                  <w:r>
                    <w:rPr>
                      <w:rFonts w:hint="default" w:ascii="Times New Roman" w:hAnsi="Times New Roman" w:cs="Times New Roman"/>
                    </w:rPr>
                    <w:t>与排气筒高度对应的大气污染物最高允许排放速率</w:t>
                  </w:r>
                </w:p>
              </w:tc>
              <w:tc>
                <w:tcPr>
                  <w:tcW w:w="1139" w:type="dxa"/>
                  <w:vMerge w:val="restart"/>
                  <w:shd w:val="clear" w:color="auto" w:fill="auto"/>
                  <w:vAlign w:val="center"/>
                </w:tcPr>
                <w:p>
                  <w:pPr>
                    <w:pStyle w:val="45"/>
                    <w:bidi w:val="0"/>
                    <w:rPr>
                      <w:rFonts w:hint="default" w:ascii="Times New Roman" w:hAnsi="Times New Roman" w:cs="Times New Roman"/>
                    </w:rPr>
                  </w:pPr>
                  <w:r>
                    <w:rPr>
                      <w:rFonts w:hint="default" w:ascii="Times New Roman" w:hAnsi="Times New Roman" w:cs="Times New Roman"/>
                    </w:rPr>
                    <w:t>无组织排放监控浓度限值（mg/</w:t>
                  </w:r>
                  <w:r>
                    <w:rPr>
                      <w:rFonts w:hint="default" w:ascii="Times New Roman" w:hAnsi="Times New Roman" w:cs="Times New Roman"/>
                      <w:lang w:eastAsia="zh-CN"/>
                    </w:rPr>
                    <w:t>m³</w:t>
                  </w:r>
                  <w:r>
                    <w:rPr>
                      <w:rFonts w:hint="default" w:ascii="Times New Roman" w:hAnsi="Times New Roman" w:cs="Times New Roma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17" w:type="dxa"/>
                  <w:vMerge w:val="continue"/>
                  <w:tcBorders>
                    <w:top w:val="nil"/>
                  </w:tcBorders>
                  <w:shd w:val="clear" w:color="auto" w:fill="auto"/>
                </w:tcPr>
                <w:p>
                  <w:pPr>
                    <w:pStyle w:val="45"/>
                    <w:bidi w:val="0"/>
                    <w:rPr>
                      <w:rFonts w:hint="default" w:ascii="Times New Roman" w:hAnsi="Times New Roman" w:cs="Times New Roman"/>
                    </w:rPr>
                  </w:pPr>
                </w:p>
              </w:tc>
              <w:tc>
                <w:tcPr>
                  <w:tcW w:w="1428" w:type="dxa"/>
                  <w:vMerge w:val="continue"/>
                  <w:tcBorders>
                    <w:top w:val="nil"/>
                  </w:tcBorders>
                  <w:shd w:val="clear" w:color="auto" w:fill="auto"/>
                </w:tcPr>
                <w:p>
                  <w:pPr>
                    <w:pStyle w:val="45"/>
                    <w:bidi w:val="0"/>
                    <w:rPr>
                      <w:rFonts w:hint="default" w:ascii="Times New Roman" w:hAnsi="Times New Roman" w:cs="Times New Roman"/>
                    </w:rPr>
                  </w:pPr>
                </w:p>
              </w:tc>
              <w:tc>
                <w:tcPr>
                  <w:tcW w:w="1261" w:type="dxa"/>
                  <w:vMerge w:val="continue"/>
                  <w:tcBorders>
                    <w:top w:val="nil"/>
                  </w:tcBorders>
                  <w:shd w:val="clear" w:color="auto" w:fill="auto"/>
                </w:tcPr>
                <w:p>
                  <w:pPr>
                    <w:pStyle w:val="45"/>
                    <w:bidi w:val="0"/>
                    <w:rPr>
                      <w:rFonts w:hint="default" w:ascii="Times New Roman" w:hAnsi="Times New Roman" w:cs="Times New Roman"/>
                    </w:rPr>
                  </w:pPr>
                </w:p>
              </w:tc>
              <w:tc>
                <w:tcPr>
                  <w:tcW w:w="1102" w:type="dxa"/>
                  <w:shd w:val="clear" w:color="auto" w:fill="auto"/>
                </w:tcPr>
                <w:p>
                  <w:pPr>
                    <w:pStyle w:val="45"/>
                    <w:bidi w:val="0"/>
                    <w:rPr>
                      <w:rFonts w:hint="default" w:ascii="Times New Roman" w:hAnsi="Times New Roman" w:cs="Times New Roman"/>
                    </w:rPr>
                  </w:pPr>
                  <w:r>
                    <w:rPr>
                      <w:rFonts w:hint="default" w:ascii="Times New Roman" w:hAnsi="Times New Roman" w:cs="Times New Roman"/>
                    </w:rPr>
                    <w:t>项目排气筒高度（m）</w:t>
                  </w:r>
                </w:p>
              </w:tc>
              <w:tc>
                <w:tcPr>
                  <w:tcW w:w="910" w:type="dxa"/>
                  <w:shd w:val="clear" w:color="auto" w:fill="auto"/>
                </w:tcPr>
                <w:p>
                  <w:pPr>
                    <w:pStyle w:val="45"/>
                    <w:bidi w:val="0"/>
                    <w:rPr>
                      <w:rFonts w:hint="default" w:ascii="Times New Roman" w:hAnsi="Times New Roman" w:cs="Times New Roman"/>
                    </w:rPr>
                  </w:pPr>
                  <w:r>
                    <w:rPr>
                      <w:rFonts w:hint="default" w:ascii="Times New Roman" w:hAnsi="Times New Roman" w:cs="Times New Roman"/>
                    </w:rPr>
                    <w:t>排放标准（kg/h）</w:t>
                  </w:r>
                </w:p>
              </w:tc>
              <w:tc>
                <w:tcPr>
                  <w:tcW w:w="1100" w:type="dxa"/>
                  <w:shd w:val="clear" w:color="auto" w:fill="auto"/>
                </w:tcPr>
                <w:p>
                  <w:pPr>
                    <w:pStyle w:val="45"/>
                    <w:bidi w:val="0"/>
                    <w:rPr>
                      <w:rFonts w:hint="default" w:ascii="Times New Roman" w:hAnsi="Times New Roman" w:cs="Times New Roman"/>
                    </w:rPr>
                  </w:pPr>
                  <w:r>
                    <w:rPr>
                      <w:rFonts w:hint="default" w:ascii="Times New Roman" w:hAnsi="Times New Roman" w:cs="Times New Roman"/>
                    </w:rPr>
                    <w:t>严格50%</w:t>
                  </w:r>
                </w:p>
                <w:p>
                  <w:pPr>
                    <w:pStyle w:val="45"/>
                    <w:bidi w:val="0"/>
                    <w:rPr>
                      <w:rFonts w:hint="default" w:ascii="Times New Roman" w:hAnsi="Times New Roman" w:cs="Times New Roman"/>
                    </w:rPr>
                  </w:pPr>
                  <w:r>
                    <w:rPr>
                      <w:rFonts w:hint="default" w:ascii="Times New Roman" w:hAnsi="Times New Roman" w:cs="Times New Roman"/>
                    </w:rPr>
                    <w:t>执行（kg/h）</w:t>
                  </w:r>
                </w:p>
              </w:tc>
              <w:tc>
                <w:tcPr>
                  <w:tcW w:w="1139" w:type="dxa"/>
                  <w:vMerge w:val="continue"/>
                  <w:tcBorders>
                    <w:top w:val="nil"/>
                  </w:tcBorders>
                  <w:shd w:val="clear" w:color="auto" w:fill="D7D7D7"/>
                </w:tcPr>
                <w:p>
                  <w:pPr>
                    <w:pStyle w:val="45"/>
                    <w:bidi w:val="0"/>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17" w:type="dxa"/>
                  <w:vMerge w:val="restart"/>
                  <w:vAlign w:val="center"/>
                </w:tcPr>
                <w:p>
                  <w:pPr>
                    <w:pStyle w:val="45"/>
                    <w:bidi w:val="0"/>
                    <w:rPr>
                      <w:rFonts w:hint="default" w:ascii="Times New Roman" w:hAnsi="Times New Roman" w:cs="Times New Roman"/>
                      <w:lang w:eastAsia="zh-CN"/>
                    </w:rPr>
                  </w:pPr>
                  <w:r>
                    <w:rPr>
                      <w:rFonts w:hint="default" w:ascii="Times New Roman" w:hAnsi="Times New Roman" w:cs="Times New Roman"/>
                    </w:rPr>
                    <w:t>DA00</w:t>
                  </w:r>
                  <w:r>
                    <w:rPr>
                      <w:rFonts w:hint="default" w:ascii="Times New Roman" w:hAnsi="Times New Roman" w:cs="Times New Roman"/>
                      <w:lang w:val="en-US" w:eastAsia="zh-CN"/>
                    </w:rPr>
                    <w:t>1</w:t>
                  </w:r>
                </w:p>
              </w:tc>
              <w:tc>
                <w:tcPr>
                  <w:tcW w:w="1428" w:type="dxa"/>
                  <w:vAlign w:val="center"/>
                </w:tcPr>
                <w:p>
                  <w:pPr>
                    <w:pStyle w:val="45"/>
                    <w:bidi w:val="0"/>
                    <w:rPr>
                      <w:rFonts w:hint="default" w:ascii="Times New Roman" w:hAnsi="Times New Roman" w:cs="Times New Roman"/>
                    </w:rPr>
                  </w:pPr>
                  <w:r>
                    <w:rPr>
                      <w:rFonts w:hint="default" w:ascii="Times New Roman" w:hAnsi="Times New Roman" w:cs="Times New Roman"/>
                    </w:rPr>
                    <w:t>非甲烷总烃</w:t>
                  </w:r>
                </w:p>
              </w:tc>
              <w:tc>
                <w:tcPr>
                  <w:tcW w:w="1261" w:type="dxa"/>
                  <w:vAlign w:val="center"/>
                </w:tcPr>
                <w:p>
                  <w:pPr>
                    <w:pStyle w:val="45"/>
                    <w:bidi w:val="0"/>
                    <w:rPr>
                      <w:rFonts w:hint="default" w:ascii="Times New Roman" w:hAnsi="Times New Roman" w:cs="Times New Roman"/>
                    </w:rPr>
                  </w:pPr>
                  <w:r>
                    <w:rPr>
                      <w:rFonts w:hint="default" w:ascii="Times New Roman" w:hAnsi="Times New Roman" w:cs="Times New Roman"/>
                    </w:rPr>
                    <w:t>120</w:t>
                  </w:r>
                </w:p>
              </w:tc>
              <w:tc>
                <w:tcPr>
                  <w:tcW w:w="1102" w:type="dxa"/>
                  <w:vAlign w:val="center"/>
                </w:tcPr>
                <w:p>
                  <w:pPr>
                    <w:pStyle w:val="45"/>
                    <w:bidi w:val="0"/>
                    <w:rPr>
                      <w:rFonts w:hint="default" w:ascii="Times New Roman" w:hAnsi="Times New Roman" w:cs="Times New Roman"/>
                    </w:rPr>
                  </w:pPr>
                  <w:r>
                    <w:rPr>
                      <w:rFonts w:hint="default" w:ascii="Times New Roman" w:hAnsi="Times New Roman" w:cs="Times New Roman"/>
                    </w:rPr>
                    <w:t>15</w:t>
                  </w:r>
                </w:p>
              </w:tc>
              <w:tc>
                <w:tcPr>
                  <w:tcW w:w="910" w:type="dxa"/>
                  <w:vAlign w:val="center"/>
                </w:tcPr>
                <w:p>
                  <w:pPr>
                    <w:pStyle w:val="4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10</w:t>
                  </w:r>
                </w:p>
              </w:tc>
              <w:tc>
                <w:tcPr>
                  <w:tcW w:w="1100" w:type="dxa"/>
                  <w:vAlign w:val="center"/>
                </w:tcPr>
                <w:p>
                  <w:pPr>
                    <w:pStyle w:val="45"/>
                    <w:bidi w:val="0"/>
                    <w:rPr>
                      <w:rFonts w:hint="default" w:ascii="Times New Roman" w:hAnsi="Times New Roman" w:eastAsia="宋体" w:cs="Times New Roman"/>
                      <w:lang w:eastAsia="zh-CN"/>
                    </w:rPr>
                  </w:pPr>
                  <w:r>
                    <w:rPr>
                      <w:rFonts w:hint="default" w:ascii="Times New Roman" w:hAnsi="Times New Roman" w:cs="Times New Roman"/>
                      <w:lang w:val="en-US" w:eastAsia="zh-CN"/>
                    </w:rPr>
                    <w:t>5</w:t>
                  </w:r>
                </w:p>
              </w:tc>
              <w:tc>
                <w:tcPr>
                  <w:tcW w:w="1139" w:type="dxa"/>
                  <w:vAlign w:val="center"/>
                </w:tcPr>
                <w:p>
                  <w:pPr>
                    <w:pStyle w:val="45"/>
                    <w:bidi w:val="0"/>
                    <w:rPr>
                      <w:rFonts w:hint="default" w:ascii="Times New Roman" w:hAnsi="Times New Roman" w:cs="Times New Roman"/>
                    </w:rPr>
                  </w:pPr>
                  <w:r>
                    <w:rPr>
                      <w:rFonts w:hint="default" w:ascii="Times New Roman" w:hAnsi="Times New Roman" w:cs="Times New Roma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7" w:type="dxa"/>
                  <w:vMerge w:val="continue"/>
                  <w:vAlign w:val="center"/>
                </w:tcPr>
                <w:p>
                  <w:pPr>
                    <w:pStyle w:val="45"/>
                    <w:bidi w:val="0"/>
                    <w:rPr>
                      <w:rFonts w:hint="default" w:ascii="Times New Roman" w:hAnsi="Times New Roman" w:cs="Times New Roman"/>
                    </w:rPr>
                  </w:pPr>
                </w:p>
              </w:tc>
              <w:tc>
                <w:tcPr>
                  <w:tcW w:w="1428" w:type="dxa"/>
                  <w:vAlign w:val="center"/>
                </w:tcPr>
                <w:p>
                  <w:pPr>
                    <w:pStyle w:val="45"/>
                    <w:bidi w:val="0"/>
                    <w:rPr>
                      <w:rFonts w:hint="default" w:ascii="Times New Roman" w:hAnsi="Times New Roman" w:cs="Times New Roman"/>
                    </w:rPr>
                  </w:pPr>
                  <w:r>
                    <w:rPr>
                      <w:rFonts w:hint="default" w:ascii="Times New Roman" w:hAnsi="Times New Roman" w:cs="Times New Roman"/>
                    </w:rPr>
                    <w:t>甲苯</w:t>
                  </w:r>
                </w:p>
              </w:tc>
              <w:tc>
                <w:tcPr>
                  <w:tcW w:w="1261" w:type="dxa"/>
                  <w:vAlign w:val="center"/>
                </w:tcPr>
                <w:p>
                  <w:pPr>
                    <w:pStyle w:val="45"/>
                    <w:bidi w:val="0"/>
                    <w:rPr>
                      <w:rFonts w:hint="default" w:ascii="Times New Roman" w:hAnsi="Times New Roman" w:cs="Times New Roman"/>
                    </w:rPr>
                  </w:pPr>
                  <w:r>
                    <w:rPr>
                      <w:rFonts w:hint="default" w:ascii="Times New Roman" w:hAnsi="Times New Roman" w:cs="Times New Roman"/>
                    </w:rPr>
                    <w:t>40</w:t>
                  </w:r>
                </w:p>
              </w:tc>
              <w:tc>
                <w:tcPr>
                  <w:tcW w:w="1102" w:type="dxa"/>
                  <w:vAlign w:val="center"/>
                </w:tcPr>
                <w:p>
                  <w:pPr>
                    <w:pStyle w:val="45"/>
                    <w:bidi w:val="0"/>
                    <w:rPr>
                      <w:rFonts w:hint="default" w:ascii="Times New Roman" w:hAnsi="Times New Roman" w:cs="Times New Roman"/>
                    </w:rPr>
                  </w:pPr>
                  <w:r>
                    <w:rPr>
                      <w:rFonts w:hint="default" w:ascii="Times New Roman" w:hAnsi="Times New Roman" w:cs="Times New Roman"/>
                    </w:rPr>
                    <w:t>15</w:t>
                  </w:r>
                </w:p>
              </w:tc>
              <w:tc>
                <w:tcPr>
                  <w:tcW w:w="910" w:type="dxa"/>
                  <w:vAlign w:val="center"/>
                </w:tcPr>
                <w:p>
                  <w:pPr>
                    <w:pStyle w:val="4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3.1</w:t>
                  </w:r>
                </w:p>
              </w:tc>
              <w:tc>
                <w:tcPr>
                  <w:tcW w:w="1100" w:type="dxa"/>
                  <w:vAlign w:val="center"/>
                </w:tcPr>
                <w:p>
                  <w:pPr>
                    <w:pStyle w:val="4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1.55</w:t>
                  </w:r>
                </w:p>
              </w:tc>
              <w:tc>
                <w:tcPr>
                  <w:tcW w:w="1139" w:type="dxa"/>
                  <w:vAlign w:val="center"/>
                </w:tcPr>
                <w:p>
                  <w:pPr>
                    <w:pStyle w:val="4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917" w:type="dxa"/>
                  <w:vMerge w:val="continue"/>
                  <w:vAlign w:val="center"/>
                </w:tcPr>
                <w:p>
                  <w:pPr>
                    <w:pStyle w:val="45"/>
                    <w:bidi w:val="0"/>
                    <w:rPr>
                      <w:rFonts w:hint="default" w:ascii="Times New Roman" w:hAnsi="Times New Roman" w:cs="Times New Roman"/>
                    </w:rPr>
                  </w:pPr>
                </w:p>
              </w:tc>
              <w:tc>
                <w:tcPr>
                  <w:tcW w:w="1428" w:type="dxa"/>
                  <w:vAlign w:val="center"/>
                </w:tcPr>
                <w:p>
                  <w:pPr>
                    <w:pStyle w:val="45"/>
                    <w:bidi w:val="0"/>
                    <w:rPr>
                      <w:rFonts w:hint="default" w:ascii="Times New Roman" w:hAnsi="Times New Roman" w:cs="Times New Roman"/>
                    </w:rPr>
                  </w:pPr>
                  <w:r>
                    <w:rPr>
                      <w:rFonts w:hint="default" w:ascii="Times New Roman" w:hAnsi="Times New Roman" w:cs="Times New Roman"/>
                    </w:rPr>
                    <w:t>二甲苯</w:t>
                  </w:r>
                </w:p>
              </w:tc>
              <w:tc>
                <w:tcPr>
                  <w:tcW w:w="1261" w:type="dxa"/>
                  <w:vAlign w:val="center"/>
                </w:tcPr>
                <w:p>
                  <w:pPr>
                    <w:pStyle w:val="45"/>
                    <w:bidi w:val="0"/>
                    <w:rPr>
                      <w:rFonts w:hint="default" w:ascii="Times New Roman" w:hAnsi="Times New Roman" w:cs="Times New Roman"/>
                    </w:rPr>
                  </w:pPr>
                  <w:r>
                    <w:rPr>
                      <w:rFonts w:hint="default" w:ascii="Times New Roman" w:hAnsi="Times New Roman" w:cs="Times New Roman"/>
                    </w:rPr>
                    <w:t>70</w:t>
                  </w:r>
                </w:p>
              </w:tc>
              <w:tc>
                <w:tcPr>
                  <w:tcW w:w="1102" w:type="dxa"/>
                  <w:vAlign w:val="center"/>
                </w:tcPr>
                <w:p>
                  <w:pPr>
                    <w:pStyle w:val="45"/>
                    <w:bidi w:val="0"/>
                    <w:rPr>
                      <w:rFonts w:hint="default" w:ascii="Times New Roman" w:hAnsi="Times New Roman" w:cs="Times New Roman"/>
                    </w:rPr>
                  </w:pPr>
                  <w:r>
                    <w:rPr>
                      <w:rFonts w:hint="default" w:ascii="Times New Roman" w:hAnsi="Times New Roman" w:cs="Times New Roman"/>
                    </w:rPr>
                    <w:t>15</w:t>
                  </w:r>
                </w:p>
              </w:tc>
              <w:tc>
                <w:tcPr>
                  <w:tcW w:w="910" w:type="dxa"/>
                  <w:vAlign w:val="center"/>
                </w:tcPr>
                <w:p>
                  <w:pPr>
                    <w:pStyle w:val="45"/>
                    <w:bidi w:val="0"/>
                    <w:rPr>
                      <w:rFonts w:hint="default" w:ascii="Times New Roman" w:hAnsi="Times New Roman" w:eastAsia="宋体" w:cs="Times New Roman"/>
                      <w:lang w:eastAsia="zh-CN"/>
                    </w:rPr>
                  </w:pPr>
                  <w:r>
                    <w:rPr>
                      <w:rFonts w:hint="default" w:ascii="Times New Roman" w:hAnsi="Times New Roman" w:cs="Times New Roman"/>
                      <w:lang w:val="en-US" w:eastAsia="zh-CN"/>
                    </w:rPr>
                    <w:t>1</w:t>
                  </w:r>
                </w:p>
              </w:tc>
              <w:tc>
                <w:tcPr>
                  <w:tcW w:w="1100" w:type="dxa"/>
                  <w:vAlign w:val="center"/>
                </w:tcPr>
                <w:p>
                  <w:pPr>
                    <w:pStyle w:val="4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0.5</w:t>
                  </w:r>
                </w:p>
              </w:tc>
              <w:tc>
                <w:tcPr>
                  <w:tcW w:w="1139" w:type="dxa"/>
                  <w:vAlign w:val="center"/>
                </w:tcPr>
                <w:p>
                  <w:pPr>
                    <w:pStyle w:val="4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1.2</w:t>
                  </w:r>
                </w:p>
              </w:tc>
            </w:tr>
          </w:tbl>
          <w:p>
            <w:pPr>
              <w:spacing w:line="360" w:lineRule="auto"/>
              <w:ind w:firstLine="480" w:firstLineChars="200"/>
              <w:jc w:val="left"/>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color w:val="auto"/>
                <w:szCs w:val="21"/>
              </w:rPr>
              <w:t>②厂内无组织挥发性有机物执行《挥发性有机物无组织排放控制标准》（GB37822-2019）中的要求，具体见表3-9。</w:t>
            </w:r>
          </w:p>
          <w:p>
            <w:pPr>
              <w:pStyle w:val="36"/>
              <w:bidi w:val="0"/>
              <w:rPr>
                <w:rFonts w:hint="default" w:ascii="Times New Roman" w:hAnsi="Times New Roman" w:eastAsia="宋体" w:cs="Times New Roman"/>
                <w:lang w:eastAsia="zh-CN"/>
              </w:rPr>
            </w:pPr>
            <w:r>
              <w:rPr>
                <w:rFonts w:hint="default" w:ascii="Times New Roman" w:hAnsi="Times New Roman" w:cs="Times New Roman"/>
              </w:rPr>
              <w:t>表3-9挥发性有机物无组织排放控制标准单位：mg/</w:t>
            </w:r>
            <w:r>
              <w:rPr>
                <w:rFonts w:hint="default" w:ascii="Times New Roman" w:hAnsi="Times New Roman" w:cs="Times New Roman"/>
                <w:lang w:eastAsia="zh-CN"/>
              </w:rPr>
              <w:t>m³</w:t>
            </w:r>
          </w:p>
          <w:tbl>
            <w:tblPr>
              <w:tblStyle w:val="28"/>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325"/>
              <w:gridCol w:w="2862"/>
              <w:gridCol w:w="2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397" w:type="dxa"/>
                  <w:vAlign w:val="center"/>
                </w:tcPr>
                <w:p>
                  <w:pPr>
                    <w:pStyle w:val="36"/>
                    <w:bidi w:val="0"/>
                    <w:rPr>
                      <w:rFonts w:hint="default" w:ascii="Times New Roman" w:hAnsi="Times New Roman" w:cs="Times New Roman"/>
                    </w:rPr>
                  </w:pPr>
                  <w:r>
                    <w:rPr>
                      <w:rFonts w:hint="default" w:ascii="Times New Roman" w:hAnsi="Times New Roman" w:cs="Times New Roman"/>
                    </w:rPr>
                    <w:t>污染物项目</w:t>
                  </w:r>
                </w:p>
              </w:tc>
              <w:tc>
                <w:tcPr>
                  <w:tcW w:w="1325" w:type="dxa"/>
                  <w:vAlign w:val="center"/>
                </w:tcPr>
                <w:p>
                  <w:pPr>
                    <w:pStyle w:val="36"/>
                    <w:bidi w:val="0"/>
                    <w:rPr>
                      <w:rFonts w:hint="default" w:ascii="Times New Roman" w:hAnsi="Times New Roman" w:cs="Times New Roman"/>
                    </w:rPr>
                  </w:pPr>
                  <w:r>
                    <w:rPr>
                      <w:rFonts w:hint="default" w:ascii="Times New Roman" w:hAnsi="Times New Roman" w:cs="Times New Roman"/>
                    </w:rPr>
                    <w:t>排放限值</w:t>
                  </w:r>
                </w:p>
              </w:tc>
              <w:tc>
                <w:tcPr>
                  <w:tcW w:w="2862" w:type="dxa"/>
                  <w:vAlign w:val="center"/>
                </w:tcPr>
                <w:p>
                  <w:pPr>
                    <w:pStyle w:val="36"/>
                    <w:bidi w:val="0"/>
                    <w:rPr>
                      <w:rFonts w:hint="default" w:ascii="Times New Roman" w:hAnsi="Times New Roman" w:cs="Times New Roman"/>
                    </w:rPr>
                  </w:pPr>
                  <w:r>
                    <w:rPr>
                      <w:rFonts w:hint="default" w:ascii="Times New Roman" w:hAnsi="Times New Roman" w:cs="Times New Roman"/>
                    </w:rPr>
                    <w:t>限值含义</w:t>
                  </w:r>
                </w:p>
              </w:tc>
              <w:tc>
                <w:tcPr>
                  <w:tcW w:w="2274" w:type="dxa"/>
                  <w:vAlign w:val="center"/>
                </w:tcPr>
                <w:p>
                  <w:pPr>
                    <w:pStyle w:val="36"/>
                    <w:bidi w:val="0"/>
                    <w:rPr>
                      <w:rFonts w:hint="default" w:ascii="Times New Roman" w:hAnsi="Times New Roman" w:cs="Times New Roman"/>
                    </w:rPr>
                  </w:pPr>
                  <w:r>
                    <w:rPr>
                      <w:rFonts w:hint="default" w:ascii="Times New Roman" w:hAnsi="Times New Roman" w:cs="Times New Roma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397" w:type="dxa"/>
                  <w:vMerge w:val="restart"/>
                  <w:vAlign w:val="center"/>
                </w:tcPr>
                <w:p>
                  <w:pPr>
                    <w:pStyle w:val="36"/>
                    <w:bidi w:val="0"/>
                    <w:rPr>
                      <w:rFonts w:hint="default" w:ascii="Times New Roman" w:hAnsi="Times New Roman" w:cs="Times New Roman"/>
                    </w:rPr>
                  </w:pPr>
                  <w:r>
                    <w:rPr>
                      <w:rFonts w:hint="default" w:ascii="Times New Roman" w:hAnsi="Times New Roman" w:cs="Times New Roman"/>
                    </w:rPr>
                    <w:t>NMHC</w:t>
                  </w:r>
                </w:p>
              </w:tc>
              <w:tc>
                <w:tcPr>
                  <w:tcW w:w="1325" w:type="dxa"/>
                  <w:vAlign w:val="center"/>
                </w:tcPr>
                <w:p>
                  <w:pPr>
                    <w:pStyle w:val="36"/>
                    <w:bidi w:val="0"/>
                    <w:rPr>
                      <w:rFonts w:hint="default" w:ascii="Times New Roman" w:hAnsi="Times New Roman" w:cs="Times New Roman"/>
                    </w:rPr>
                  </w:pPr>
                  <w:r>
                    <w:rPr>
                      <w:rFonts w:hint="default" w:ascii="Times New Roman" w:hAnsi="Times New Roman" w:cs="Times New Roman"/>
                    </w:rPr>
                    <w:t>10</w:t>
                  </w:r>
                </w:p>
              </w:tc>
              <w:tc>
                <w:tcPr>
                  <w:tcW w:w="2862" w:type="dxa"/>
                  <w:vAlign w:val="center"/>
                </w:tcPr>
                <w:p>
                  <w:pPr>
                    <w:pStyle w:val="36"/>
                    <w:bidi w:val="0"/>
                    <w:rPr>
                      <w:rFonts w:hint="default" w:ascii="Times New Roman" w:hAnsi="Times New Roman" w:cs="Times New Roman"/>
                    </w:rPr>
                  </w:pPr>
                  <w:r>
                    <w:rPr>
                      <w:rFonts w:hint="default" w:ascii="Times New Roman" w:hAnsi="Times New Roman" w:cs="Times New Roman"/>
                    </w:rPr>
                    <w:t>监控点处1h平均浓度值</w:t>
                  </w:r>
                </w:p>
              </w:tc>
              <w:tc>
                <w:tcPr>
                  <w:tcW w:w="2274" w:type="dxa"/>
                  <w:vMerge w:val="restart"/>
                  <w:vAlign w:val="center"/>
                </w:tcPr>
                <w:p>
                  <w:pPr>
                    <w:pStyle w:val="36"/>
                    <w:bidi w:val="0"/>
                    <w:rPr>
                      <w:rFonts w:hint="default" w:ascii="Times New Roman" w:hAnsi="Times New Roman" w:cs="Times New Roman"/>
                    </w:rPr>
                  </w:pPr>
                  <w:r>
                    <w:rPr>
                      <w:rFonts w:hint="default" w:ascii="Times New Roman" w:hAnsi="Times New Roman" w:cs="Times New Roman"/>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97" w:type="dxa"/>
                  <w:vMerge w:val="continue"/>
                  <w:vAlign w:val="center"/>
                </w:tcPr>
                <w:p>
                  <w:pPr>
                    <w:pStyle w:val="36"/>
                    <w:bidi w:val="0"/>
                    <w:rPr>
                      <w:rFonts w:hint="default" w:ascii="Times New Roman" w:hAnsi="Times New Roman" w:cs="Times New Roman"/>
                    </w:rPr>
                  </w:pPr>
                </w:p>
              </w:tc>
              <w:tc>
                <w:tcPr>
                  <w:tcW w:w="1325" w:type="dxa"/>
                  <w:vAlign w:val="center"/>
                </w:tcPr>
                <w:p>
                  <w:pPr>
                    <w:pStyle w:val="36"/>
                    <w:bidi w:val="0"/>
                    <w:rPr>
                      <w:rFonts w:hint="default" w:ascii="Times New Roman" w:hAnsi="Times New Roman" w:cs="Times New Roman"/>
                    </w:rPr>
                  </w:pPr>
                  <w:r>
                    <w:rPr>
                      <w:rFonts w:hint="default" w:ascii="Times New Roman" w:hAnsi="Times New Roman" w:cs="Times New Roman"/>
                    </w:rPr>
                    <w:t>30</w:t>
                  </w:r>
                </w:p>
              </w:tc>
              <w:tc>
                <w:tcPr>
                  <w:tcW w:w="2862" w:type="dxa"/>
                  <w:vAlign w:val="center"/>
                </w:tcPr>
                <w:p>
                  <w:pPr>
                    <w:pStyle w:val="36"/>
                    <w:bidi w:val="0"/>
                    <w:rPr>
                      <w:rFonts w:hint="default" w:ascii="Times New Roman" w:hAnsi="Times New Roman" w:cs="Times New Roman"/>
                    </w:rPr>
                  </w:pPr>
                  <w:r>
                    <w:rPr>
                      <w:rFonts w:hint="default" w:ascii="Times New Roman" w:hAnsi="Times New Roman" w:cs="Times New Roman"/>
                    </w:rPr>
                    <w:t>监控点处任意一次浓度值</w:t>
                  </w:r>
                </w:p>
              </w:tc>
              <w:tc>
                <w:tcPr>
                  <w:tcW w:w="2274" w:type="dxa"/>
                  <w:vMerge w:val="continue"/>
                  <w:vAlign w:val="center"/>
                </w:tcPr>
                <w:p>
                  <w:pPr>
                    <w:pStyle w:val="36"/>
                    <w:bidi w:val="0"/>
                    <w:rPr>
                      <w:rFonts w:hint="default" w:ascii="Times New Roman" w:hAnsi="Times New Roman" w:cs="Times New Roman"/>
                    </w:rPr>
                  </w:pPr>
                </w:p>
              </w:tc>
            </w:tr>
          </w:tbl>
          <w:p>
            <w:pPr>
              <w:pStyle w:val="10"/>
              <w:adjustRightInd w:val="0"/>
              <w:spacing w:before="0" w:after="0" w:line="360" w:lineRule="auto"/>
              <w:ind w:right="0"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③</w:t>
            </w:r>
            <w:r>
              <w:rPr>
                <w:rFonts w:hint="default" w:ascii="Times New Roman" w:hAnsi="Times New Roman" w:cs="Times New Roman" w:eastAsiaTheme="minorEastAsia"/>
                <w:color w:val="auto"/>
                <w:sz w:val="21"/>
                <w:szCs w:val="21"/>
              </w:rPr>
              <w:t>食堂油烟</w:t>
            </w:r>
          </w:p>
          <w:p>
            <w:pPr>
              <w:pStyle w:val="10"/>
              <w:adjustRightInd w:val="0"/>
              <w:spacing w:before="0" w:after="0" w:line="360" w:lineRule="auto"/>
              <w:ind w:right="0"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项目运营期食堂油烟排放执行《饮食业油烟排放标准（试行）》（GB18483-2001）中的</w:t>
            </w:r>
            <w:r>
              <w:rPr>
                <w:rFonts w:hint="default" w:ascii="Times New Roman" w:hAnsi="Times New Roman" w:cs="Times New Roman" w:eastAsiaTheme="minorEastAsia"/>
                <w:color w:val="auto"/>
                <w:sz w:val="21"/>
                <w:szCs w:val="21"/>
                <w:lang w:val="en-US" w:eastAsia="zh-CN"/>
              </w:rPr>
              <w:t>中</w:t>
            </w:r>
            <w:r>
              <w:rPr>
                <w:rFonts w:hint="default" w:ascii="Times New Roman" w:hAnsi="Times New Roman" w:cs="Times New Roman" w:eastAsiaTheme="minorEastAsia"/>
                <w:color w:val="auto"/>
                <w:sz w:val="21"/>
                <w:szCs w:val="21"/>
              </w:rPr>
              <w:t>型规模最高允许排放浓度，即油烟排放浓度≤2.0mg/</w:t>
            </w:r>
            <w:r>
              <w:rPr>
                <w:rFonts w:hint="default" w:ascii="Times New Roman" w:hAnsi="Times New Roman" w:cs="Times New Roman" w:eastAsiaTheme="minorEastAsia"/>
                <w:color w:val="auto"/>
                <w:sz w:val="21"/>
                <w:szCs w:val="21"/>
                <w:lang w:eastAsia="zh-CN"/>
              </w:rPr>
              <w:t>m³</w:t>
            </w:r>
            <w:r>
              <w:rPr>
                <w:rFonts w:hint="default" w:ascii="Times New Roman" w:hAnsi="Times New Roman" w:cs="Times New Roman" w:eastAsiaTheme="minorEastAsia"/>
                <w:color w:val="auto"/>
                <w:sz w:val="21"/>
                <w:szCs w:val="21"/>
              </w:rPr>
              <w:t>，净化设施最低去除效率</w:t>
            </w:r>
            <w:r>
              <w:rPr>
                <w:rFonts w:hint="default" w:ascii="Times New Roman" w:hAnsi="Times New Roman" w:cs="Times New Roman" w:eastAsiaTheme="minorEastAsia"/>
                <w:color w:val="auto"/>
                <w:sz w:val="21"/>
                <w:szCs w:val="21"/>
                <w:lang w:val="en-US" w:eastAsia="zh-CN"/>
              </w:rPr>
              <w:t>75</w:t>
            </w:r>
            <w:r>
              <w:rPr>
                <w:rFonts w:hint="default" w:ascii="Times New Roman" w:hAnsi="Times New Roman" w:cs="Times New Roman" w:eastAsiaTheme="minorEastAsia"/>
                <w:color w:val="auto"/>
                <w:sz w:val="21"/>
                <w:szCs w:val="21"/>
              </w:rPr>
              <w:t>%。</w:t>
            </w:r>
          </w:p>
          <w:p>
            <w:pPr>
              <w:pStyle w:val="14"/>
              <w:adjustRightInd w:val="0"/>
              <w:snapToGrid w:val="0"/>
              <w:spacing w:line="360" w:lineRule="auto"/>
              <w:ind w:firstLine="482" w:firstLineChars="200"/>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2、废水</w:t>
            </w:r>
          </w:p>
          <w:p>
            <w:pPr>
              <w:bidi w:val="0"/>
              <w:rPr>
                <w:rFonts w:hint="default" w:ascii="Times New Roman" w:hAnsi="Times New Roman" w:cs="Times New Roman"/>
              </w:rPr>
            </w:pPr>
            <w:r>
              <w:rPr>
                <w:rFonts w:hint="default" w:ascii="Times New Roman" w:hAnsi="Times New Roman" w:cs="Times New Roman"/>
              </w:rPr>
              <w:t>项目运营期的生产过程中主要用水为玻璃清洗废水经过沉淀槽沉淀后循环使用</w:t>
            </w:r>
            <w:r>
              <w:rPr>
                <w:rFonts w:hint="default" w:ascii="Times New Roman" w:hAnsi="Times New Roman" w:cs="Times New Roman"/>
                <w:lang w:eastAsia="zh-CN"/>
              </w:rPr>
              <w:t>定期更换清洗废水，不外排</w:t>
            </w:r>
            <w:r>
              <w:rPr>
                <w:rFonts w:hint="default" w:ascii="Times New Roman" w:hAnsi="Times New Roman" w:cs="Times New Roman"/>
              </w:rPr>
              <w:t>，不设废水排放标准。</w:t>
            </w:r>
          </w:p>
          <w:p>
            <w:pPr>
              <w:bidi w:val="0"/>
              <w:rPr>
                <w:rFonts w:hint="default" w:ascii="Times New Roman" w:hAnsi="Times New Roman" w:cs="Times New Roman"/>
              </w:rPr>
            </w:pPr>
            <w:r>
              <w:rPr>
                <w:rFonts w:hint="default" w:ascii="Times New Roman" w:hAnsi="Times New Roman" w:cs="Times New Roman"/>
              </w:rPr>
              <w:t>①近期排水体制：</w:t>
            </w:r>
          </w:p>
          <w:p>
            <w:pPr>
              <w:bidi w:val="0"/>
              <w:rPr>
                <w:rFonts w:hint="default" w:ascii="Times New Roman" w:hAnsi="Times New Roman" w:cs="Times New Roman"/>
              </w:rPr>
            </w:pPr>
            <w:r>
              <w:rPr>
                <w:rFonts w:hint="default" w:ascii="Times New Roman" w:hAnsi="Times New Roman" w:cs="Times New Roman"/>
              </w:rPr>
              <w:t>本项目在厂区设食宿；食堂废水经</w:t>
            </w:r>
            <w:r>
              <w:rPr>
                <w:rFonts w:hint="eastAsia" w:cs="Times New Roman"/>
                <w:lang w:eastAsia="zh-CN"/>
              </w:rPr>
              <w:t>油水分离器</w:t>
            </w:r>
            <w:r>
              <w:rPr>
                <w:rFonts w:hint="default" w:ascii="Times New Roman" w:hAnsi="Times New Roman" w:cs="Times New Roman"/>
              </w:rPr>
              <w:t>处理后与其他生活污水一起排入依托</w:t>
            </w:r>
            <w:r>
              <w:rPr>
                <w:rFonts w:hint="default" w:ascii="Times New Roman" w:hAnsi="Times New Roman" w:cs="Times New Roman"/>
                <w:lang w:eastAsia="zh-CN"/>
              </w:rPr>
              <w:t>云南鑫成鹏高分子科技有限公司</w:t>
            </w:r>
            <w:r>
              <w:rPr>
                <w:rFonts w:hint="default" w:ascii="Times New Roman" w:hAnsi="Times New Roman" w:cs="Times New Roman"/>
              </w:rPr>
              <w:t>3号厂房的化粪池处理后，最终进入</w:t>
            </w:r>
            <w:r>
              <w:rPr>
                <w:rFonts w:hint="default" w:ascii="Times New Roman" w:hAnsi="Times New Roman" w:cs="Times New Roman"/>
                <w:lang w:eastAsia="zh-CN"/>
              </w:rPr>
              <w:t>云南鑫成鹏高分子科技有限公司</w:t>
            </w:r>
            <w:r>
              <w:rPr>
                <w:rFonts w:hint="default" w:ascii="Times New Roman" w:hAnsi="Times New Roman" w:cs="Times New Roman"/>
              </w:rPr>
              <w:t>自建的一体化污水处理设施处理达标后晴天回用于</w:t>
            </w:r>
            <w:r>
              <w:rPr>
                <w:rFonts w:hint="default" w:ascii="Times New Roman" w:hAnsi="Times New Roman" w:cs="Times New Roman"/>
                <w:lang w:eastAsia="zh-CN"/>
              </w:rPr>
              <w:t>云南鑫成鹏高分子科技有限公司</w:t>
            </w:r>
            <w:r>
              <w:rPr>
                <w:rFonts w:hint="default" w:ascii="Times New Roman" w:hAnsi="Times New Roman" w:cs="Times New Roman"/>
              </w:rPr>
              <w:t>的绿化及道路洒水降尘，不外排，雨天暂存于回用水池。详见下表3-1</w:t>
            </w:r>
            <w:r>
              <w:rPr>
                <w:rFonts w:hint="default" w:ascii="Times New Roman" w:hAnsi="Times New Roman" w:cs="Times New Roman"/>
                <w:lang w:val="en-US" w:eastAsia="zh-CN"/>
              </w:rPr>
              <w:t>0</w:t>
            </w:r>
            <w:r>
              <w:rPr>
                <w:rFonts w:hint="default" w:ascii="Times New Roman" w:hAnsi="Times New Roman" w:cs="Times New Roman"/>
              </w:rPr>
              <w:t>。</w:t>
            </w:r>
          </w:p>
          <w:p>
            <w:pPr>
              <w:pStyle w:val="114"/>
              <w:spacing w:before="189" w:line="219" w:lineRule="auto"/>
              <w:ind w:left="1954"/>
              <w:rPr>
                <w:rFonts w:hint="default" w:ascii="Times New Roman" w:hAnsi="Times New Roman" w:eastAsia="宋体" w:cs="Times New Roman"/>
                <w:sz w:val="12"/>
                <w:szCs w:val="12"/>
                <w:lang w:eastAsia="zh-CN"/>
              </w:rPr>
            </w:pPr>
            <w:r>
              <w:rPr>
                <w:rFonts w:hint="default" w:ascii="Times New Roman" w:hAnsi="Times New Roman" w:cs="Times New Roman"/>
                <w:spacing w:val="4"/>
                <w14:textOutline w14:w="3795" w14:cap="sq" w14:cmpd="sng">
                  <w14:solidFill>
                    <w14:srgbClr w14:val="000000"/>
                  </w14:solidFill>
                  <w14:prstDash w14:val="solid"/>
                  <w14:bevel/>
                </w14:textOutline>
              </w:rPr>
              <w:t>表</w:t>
            </w:r>
            <w:r>
              <w:rPr>
                <w:rFonts w:hint="default" w:ascii="Times New Roman" w:hAnsi="Times New Roman" w:eastAsia="Times New Roman" w:cs="Times New Roman"/>
                <w:b/>
                <w:bCs/>
                <w:spacing w:val="4"/>
              </w:rPr>
              <w:t>3-</w:t>
            </w:r>
            <w:r>
              <w:rPr>
                <w:rFonts w:hint="default" w:ascii="Times New Roman" w:hAnsi="Times New Roman" w:eastAsia="宋体" w:cs="Times New Roman"/>
                <w:b/>
                <w:bCs/>
                <w:spacing w:val="4"/>
                <w:lang w:val="en-US" w:eastAsia="zh-CN"/>
              </w:rPr>
              <w:t>10</w:t>
            </w:r>
            <w:r>
              <w:rPr>
                <w:rFonts w:hint="default" w:ascii="Times New Roman" w:hAnsi="Times New Roman" w:cs="Times New Roman"/>
                <w:spacing w:val="4"/>
                <w14:textOutline w14:w="3795" w14:cap="sq" w14:cmpd="sng">
                  <w14:solidFill>
                    <w14:srgbClr w14:val="000000"/>
                  </w14:solidFill>
                  <w14:prstDash w14:val="solid"/>
                  <w14:bevel/>
                </w14:textOutline>
              </w:rPr>
              <w:t>城市污水再生利用城市杂用水水质</w:t>
            </w:r>
            <w:r>
              <w:rPr>
                <w:rFonts w:hint="default" w:ascii="Times New Roman" w:hAnsi="Times New Roman" w:eastAsia="Times New Roman" w:cs="Times New Roman"/>
                <w:b/>
                <w:bCs/>
              </w:rPr>
              <w:t>mg</w:t>
            </w:r>
            <w:r>
              <w:rPr>
                <w:rFonts w:hint="default" w:ascii="Times New Roman" w:hAnsi="Times New Roman" w:eastAsia="Times New Roman" w:cs="Times New Roman"/>
                <w:b/>
                <w:bCs/>
                <w:spacing w:val="4"/>
              </w:rPr>
              <w:t>/</w:t>
            </w:r>
            <w:r>
              <w:rPr>
                <w:rFonts w:hint="default" w:ascii="Times New Roman" w:hAnsi="Times New Roman" w:eastAsia="宋体" w:cs="Times New Roman"/>
                <w:b/>
                <w:bCs/>
                <w:spacing w:val="4"/>
                <w:lang w:eastAsia="zh-CN"/>
              </w:rPr>
              <w:t>m³</w:t>
            </w:r>
          </w:p>
          <w:tbl>
            <w:tblPr>
              <w:tblStyle w:val="9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4"/>
              <w:gridCol w:w="3137"/>
              <w:gridCol w:w="40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8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序号</w:t>
                  </w:r>
                </w:p>
              </w:tc>
              <w:tc>
                <w:tcPr>
                  <w:tcW w:w="193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项目</w:t>
                  </w:r>
                </w:p>
              </w:tc>
              <w:tc>
                <w:tcPr>
                  <w:tcW w:w="248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城市绿化、道路清扫、消防、建筑施工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8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1</w:t>
                  </w:r>
                </w:p>
              </w:tc>
              <w:tc>
                <w:tcPr>
                  <w:tcW w:w="1930" w:type="pct"/>
                  <w:vAlign w:val="center"/>
                </w:tcPr>
                <w:p>
                  <w:pPr>
                    <w:pStyle w:val="45"/>
                    <w:bidi w:val="0"/>
                    <w:jc w:val="center"/>
                    <w:rPr>
                      <w:rFonts w:hint="default" w:ascii="Times New Roman" w:hAnsi="Times New Roman" w:cs="Times New Roman"/>
                    </w:rPr>
                  </w:pPr>
                  <w:r>
                    <w:rPr>
                      <w:rFonts w:hint="default" w:ascii="Times New Roman" w:hAnsi="Times New Roman" w:cs="Times New Roman"/>
                      <w:lang w:val="en-US" w:eastAsia="zh-CN"/>
                    </w:rPr>
                    <w:t>p</w:t>
                  </w:r>
                  <w:r>
                    <w:rPr>
                      <w:rFonts w:hint="default" w:ascii="Times New Roman" w:hAnsi="Times New Roman" w:cs="Times New Roman"/>
                    </w:rPr>
                    <w:t>H值</w:t>
                  </w:r>
                </w:p>
              </w:tc>
              <w:tc>
                <w:tcPr>
                  <w:tcW w:w="248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6.0～9.0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8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2</w:t>
                  </w:r>
                </w:p>
              </w:tc>
              <w:tc>
                <w:tcPr>
                  <w:tcW w:w="193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色度，铂钴色度单位</w:t>
                  </w:r>
                </w:p>
              </w:tc>
              <w:tc>
                <w:tcPr>
                  <w:tcW w:w="248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8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3</w:t>
                  </w:r>
                </w:p>
              </w:tc>
              <w:tc>
                <w:tcPr>
                  <w:tcW w:w="193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嗅</w:t>
                  </w:r>
                </w:p>
              </w:tc>
              <w:tc>
                <w:tcPr>
                  <w:tcW w:w="248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无不快感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8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4</w:t>
                  </w:r>
                </w:p>
              </w:tc>
              <w:tc>
                <w:tcPr>
                  <w:tcW w:w="193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浊度/NTU</w:t>
                  </w:r>
                </w:p>
              </w:tc>
              <w:tc>
                <w:tcPr>
                  <w:tcW w:w="248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58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5</w:t>
                  </w:r>
                </w:p>
              </w:tc>
              <w:tc>
                <w:tcPr>
                  <w:tcW w:w="193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BOD</w:t>
                  </w:r>
                  <w:r>
                    <w:rPr>
                      <w:rFonts w:hint="default" w:ascii="Times New Roman" w:hAnsi="Times New Roman" w:cs="Times New Roman"/>
                      <w:vertAlign w:val="subscript"/>
                    </w:rPr>
                    <w:t>5</w:t>
                  </w:r>
                  <w:r>
                    <w:rPr>
                      <w:rFonts w:hint="default" w:ascii="Times New Roman" w:hAnsi="Times New Roman" w:cs="Times New Roman"/>
                    </w:rPr>
                    <w:t>（mg/L）</w:t>
                  </w:r>
                </w:p>
              </w:tc>
              <w:tc>
                <w:tcPr>
                  <w:tcW w:w="248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81" w:type="pct"/>
                  <w:vAlign w:val="center"/>
                </w:tcPr>
                <w:p>
                  <w:pPr>
                    <w:pStyle w:val="45"/>
                    <w:bidi w:val="0"/>
                    <w:ind w:firstLine="0" w:firstLine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rPr>
                    <w:t>6</w:t>
                  </w:r>
                </w:p>
              </w:tc>
              <w:tc>
                <w:tcPr>
                  <w:tcW w:w="193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氨氮（mg/L）</w:t>
                  </w:r>
                </w:p>
              </w:tc>
              <w:tc>
                <w:tcPr>
                  <w:tcW w:w="248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81" w:type="pct"/>
                  <w:vAlign w:val="center"/>
                </w:tcPr>
                <w:p>
                  <w:pPr>
                    <w:pStyle w:val="45"/>
                    <w:bidi w:val="0"/>
                    <w:ind w:firstLine="0" w:firstLine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rPr>
                    <w:t>7</w:t>
                  </w:r>
                </w:p>
              </w:tc>
              <w:tc>
                <w:tcPr>
                  <w:tcW w:w="193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阴离子表面活性剂（mg/L）</w:t>
                  </w:r>
                </w:p>
              </w:tc>
              <w:tc>
                <w:tcPr>
                  <w:tcW w:w="248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581" w:type="pct"/>
                  <w:vAlign w:val="center"/>
                </w:tcPr>
                <w:p>
                  <w:pPr>
                    <w:pStyle w:val="45"/>
                    <w:bidi w:val="0"/>
                    <w:ind w:firstLine="0" w:firstLine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rPr>
                    <w:t>8</w:t>
                  </w:r>
                </w:p>
              </w:tc>
              <w:tc>
                <w:tcPr>
                  <w:tcW w:w="193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铁</w:t>
                  </w:r>
                </w:p>
              </w:tc>
              <w:tc>
                <w:tcPr>
                  <w:tcW w:w="248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81" w:type="pct"/>
                  <w:vAlign w:val="center"/>
                </w:tcPr>
                <w:p>
                  <w:pPr>
                    <w:pStyle w:val="45"/>
                    <w:bidi w:val="0"/>
                    <w:ind w:firstLine="0" w:firstLine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rPr>
                    <w:t>9</w:t>
                  </w:r>
                </w:p>
              </w:tc>
              <w:tc>
                <w:tcPr>
                  <w:tcW w:w="193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猛</w:t>
                  </w:r>
                </w:p>
              </w:tc>
              <w:tc>
                <w:tcPr>
                  <w:tcW w:w="248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81" w:type="pct"/>
                  <w:vAlign w:val="center"/>
                </w:tcPr>
                <w:p>
                  <w:pPr>
                    <w:pStyle w:val="45"/>
                    <w:bidi w:val="0"/>
                    <w:ind w:firstLine="0" w:firstLine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rPr>
                    <w:t>10</w:t>
                  </w:r>
                </w:p>
              </w:tc>
              <w:tc>
                <w:tcPr>
                  <w:tcW w:w="193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溶解性总固体（mg/L）</w:t>
                  </w:r>
                </w:p>
              </w:tc>
              <w:tc>
                <w:tcPr>
                  <w:tcW w:w="248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≤1000（2000）a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81" w:type="pct"/>
                  <w:vAlign w:val="center"/>
                </w:tcPr>
                <w:p>
                  <w:pPr>
                    <w:pStyle w:val="45"/>
                    <w:bidi w:val="0"/>
                    <w:ind w:firstLine="0" w:firstLine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rPr>
                    <w:t>11</w:t>
                  </w:r>
                </w:p>
              </w:tc>
              <w:tc>
                <w:tcPr>
                  <w:tcW w:w="193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溶解氧（mg/L）</w:t>
                  </w:r>
                </w:p>
              </w:tc>
              <w:tc>
                <w:tcPr>
                  <w:tcW w:w="248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81" w:type="pct"/>
                  <w:vAlign w:val="center"/>
                </w:tcPr>
                <w:p>
                  <w:pPr>
                    <w:pStyle w:val="45"/>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12</w:t>
                  </w:r>
                </w:p>
              </w:tc>
              <w:tc>
                <w:tcPr>
                  <w:tcW w:w="193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总氯（mg/L）</w:t>
                  </w:r>
                </w:p>
              </w:tc>
              <w:tc>
                <w:tcPr>
                  <w:tcW w:w="248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≤1.0（出厂），0.2b（管网末端）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581" w:type="pct"/>
                  <w:vAlign w:val="center"/>
                </w:tcPr>
                <w:p>
                  <w:pPr>
                    <w:pStyle w:val="45"/>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13</w:t>
                  </w:r>
                </w:p>
              </w:tc>
              <w:tc>
                <w:tcPr>
                  <w:tcW w:w="193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大肠埃希氏菌(MPN/100mL或</w:t>
                  </w:r>
                </w:p>
                <w:p>
                  <w:pPr>
                    <w:pStyle w:val="45"/>
                    <w:bidi w:val="0"/>
                    <w:jc w:val="center"/>
                    <w:rPr>
                      <w:rFonts w:hint="default" w:ascii="Times New Roman" w:hAnsi="Times New Roman" w:cs="Times New Roman"/>
                    </w:rPr>
                  </w:pPr>
                  <w:r>
                    <w:rPr>
                      <w:rFonts w:hint="default" w:ascii="Times New Roman" w:hAnsi="Times New Roman" w:cs="Times New Roman"/>
                    </w:rPr>
                    <w:t>CFU/100mL)</w:t>
                  </w:r>
                </w:p>
              </w:tc>
              <w:tc>
                <w:tcPr>
                  <w:tcW w:w="2488"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无c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5000" w:type="pct"/>
                  <w:gridSpan w:val="3"/>
                  <w:vAlign w:val="center"/>
                </w:tcPr>
                <w:p>
                  <w:pPr>
                    <w:pStyle w:val="45"/>
                    <w:bidi w:val="0"/>
                    <w:jc w:val="center"/>
                    <w:rPr>
                      <w:rFonts w:hint="default" w:ascii="Times New Roman" w:hAnsi="Times New Roman" w:cs="Times New Roman"/>
                    </w:rPr>
                  </w:pPr>
                  <w:r>
                    <w:rPr>
                      <w:rFonts w:hint="default" w:ascii="Times New Roman" w:hAnsi="Times New Roman" w:cs="Times New Roman"/>
                    </w:rPr>
                    <w:t>注：“—”表示对此项无要求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trPr>
              <w:tc>
                <w:tcPr>
                  <w:tcW w:w="5000" w:type="pct"/>
                  <w:gridSpan w:val="3"/>
                  <w:vAlign w:val="center"/>
                </w:tcPr>
                <w:p>
                  <w:pPr>
                    <w:pStyle w:val="45"/>
                    <w:bidi w:val="0"/>
                    <w:jc w:val="left"/>
                    <w:rPr>
                      <w:rFonts w:hint="default" w:ascii="Times New Roman" w:hAnsi="Times New Roman" w:cs="Times New Roman"/>
                    </w:rPr>
                  </w:pPr>
                  <w:r>
                    <w:rPr>
                      <w:rFonts w:hint="default" w:ascii="Times New Roman" w:hAnsi="Times New Roman" w:cs="Times New Roman"/>
                    </w:rPr>
                    <w:t>a括号内指标值为沿海及本地水源中溶解性固体含量较高的区域的指标。</w:t>
                  </w:r>
                </w:p>
                <w:p>
                  <w:pPr>
                    <w:pStyle w:val="45"/>
                    <w:bidi w:val="0"/>
                    <w:jc w:val="left"/>
                    <w:rPr>
                      <w:rFonts w:hint="default" w:ascii="Times New Roman" w:hAnsi="Times New Roman" w:cs="Times New Roman"/>
                    </w:rPr>
                  </w:pPr>
                  <w:r>
                    <w:rPr>
                      <w:rFonts w:hint="default" w:ascii="Times New Roman" w:hAnsi="Times New Roman" w:cs="Times New Roman"/>
                    </w:rPr>
                    <w:t>b用于城市绿化时，不应超过2.5mg/L。</w:t>
                  </w:r>
                </w:p>
                <w:p>
                  <w:pPr>
                    <w:pStyle w:val="45"/>
                    <w:bidi w:val="0"/>
                    <w:jc w:val="left"/>
                    <w:rPr>
                      <w:rFonts w:hint="default" w:ascii="Times New Roman" w:hAnsi="Times New Roman" w:cs="Times New Roman"/>
                    </w:rPr>
                  </w:pPr>
                  <w:r>
                    <w:rPr>
                      <w:rFonts w:hint="default" w:ascii="Times New Roman" w:hAnsi="Times New Roman" w:cs="Times New Roman"/>
                    </w:rPr>
                    <w:t>c大肠埃希氏菌不应检出。</w:t>
                  </w:r>
                </w:p>
              </w:tc>
            </w:tr>
          </w:tbl>
          <w:p>
            <w:pPr>
              <w:bidi w:val="0"/>
              <w:rPr>
                <w:rFonts w:hint="default" w:ascii="Times New Roman" w:hAnsi="Times New Roman" w:cs="Times New Roman"/>
              </w:rPr>
            </w:pPr>
            <w:r>
              <w:rPr>
                <w:rFonts w:hint="default" w:ascii="Times New Roman" w:hAnsi="Times New Roman" w:cs="Times New Roman"/>
              </w:rPr>
              <w:t>②远期排水体制：</w:t>
            </w:r>
          </w:p>
          <w:p>
            <w:pPr>
              <w:bidi w:val="0"/>
              <w:rPr>
                <w:rFonts w:hint="default" w:ascii="Times New Roman" w:hAnsi="Times New Roman" w:cs="Times New Roman"/>
              </w:rPr>
            </w:pPr>
            <w:r>
              <w:rPr>
                <w:rFonts w:hint="default" w:ascii="Times New Roman" w:hAnsi="Times New Roman" w:cs="Times New Roman"/>
              </w:rPr>
              <w:t>食堂含油废水经隔油处理后与经化粪池处理后的生活污水一起排入园区污水管网，最后进入园区污水处理厂。</w:t>
            </w:r>
          </w:p>
          <w:p>
            <w:pPr>
              <w:pStyle w:val="36"/>
              <w:bidi w:val="0"/>
              <w:rPr>
                <w:rFonts w:hint="default" w:ascii="Times New Roman" w:hAnsi="Times New Roman" w:cs="Times New Roman"/>
              </w:rPr>
            </w:pPr>
            <w:r>
              <w:rPr>
                <w:rFonts w:hint="default" w:ascii="Times New Roman" w:hAnsi="Times New Roman" w:cs="Times New Roman"/>
              </w:rPr>
              <w:t>表3-1</w:t>
            </w:r>
            <w:r>
              <w:rPr>
                <w:rFonts w:hint="default" w:ascii="Times New Roman" w:hAnsi="Times New Roman" w:cs="Times New Roman"/>
                <w:lang w:val="en-US" w:eastAsia="zh-CN"/>
              </w:rPr>
              <w:t>1</w:t>
            </w:r>
            <w:r>
              <w:rPr>
                <w:rFonts w:hint="default" w:ascii="Times New Roman" w:hAnsi="Times New Roman" w:cs="Times New Roman"/>
              </w:rPr>
              <w:t>《污水排入城镇下水道水质标准》表1A等级标准</w:t>
            </w:r>
          </w:p>
          <w:tbl>
            <w:tblPr>
              <w:tblStyle w:val="98"/>
              <w:tblW w:w="499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670"/>
              <w:gridCol w:w="1116"/>
              <w:gridCol w:w="1191"/>
              <w:gridCol w:w="1171"/>
              <w:gridCol w:w="1025"/>
              <w:gridCol w:w="1138"/>
              <w:gridCol w:w="11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396" w:type="pct"/>
                  <w:vAlign w:val="center"/>
                </w:tcPr>
                <w:p>
                  <w:pPr>
                    <w:pStyle w:val="45"/>
                    <w:bidi w:val="0"/>
                    <w:rPr>
                      <w:rFonts w:hint="default" w:ascii="Times New Roman" w:hAnsi="Times New Roman" w:cs="Times New Roman"/>
                    </w:rPr>
                  </w:pPr>
                  <w:r>
                    <w:rPr>
                      <w:rFonts w:hint="default" w:ascii="Times New Roman" w:hAnsi="Times New Roman" w:cs="Times New Roman"/>
                    </w:rPr>
                    <w:t>序号</w:t>
                  </w:r>
                </w:p>
              </w:tc>
              <w:tc>
                <w:tcPr>
                  <w:tcW w:w="412" w:type="pct"/>
                  <w:vAlign w:val="center"/>
                </w:tcPr>
                <w:p>
                  <w:pPr>
                    <w:pStyle w:val="45"/>
                    <w:bidi w:val="0"/>
                    <w:rPr>
                      <w:rFonts w:hint="default" w:ascii="Times New Roman" w:hAnsi="Times New Roman" w:cs="Times New Roman"/>
                    </w:rPr>
                  </w:pPr>
                  <w:r>
                    <w:rPr>
                      <w:rFonts w:hint="default" w:ascii="Times New Roman" w:hAnsi="Times New Roman" w:cs="Times New Roman"/>
                    </w:rPr>
                    <w:t>1</w:t>
                  </w:r>
                </w:p>
              </w:tc>
              <w:tc>
                <w:tcPr>
                  <w:tcW w:w="686" w:type="pct"/>
                  <w:vAlign w:val="center"/>
                </w:tcPr>
                <w:p>
                  <w:pPr>
                    <w:pStyle w:val="45"/>
                    <w:bidi w:val="0"/>
                    <w:rPr>
                      <w:rFonts w:hint="default" w:ascii="Times New Roman" w:hAnsi="Times New Roman" w:cs="Times New Roman"/>
                    </w:rPr>
                  </w:pPr>
                  <w:r>
                    <w:rPr>
                      <w:rFonts w:hint="default" w:ascii="Times New Roman" w:hAnsi="Times New Roman" w:cs="Times New Roman"/>
                    </w:rPr>
                    <w:t>2</w:t>
                  </w:r>
                </w:p>
              </w:tc>
              <w:tc>
                <w:tcPr>
                  <w:tcW w:w="733" w:type="pct"/>
                  <w:vAlign w:val="center"/>
                </w:tcPr>
                <w:p>
                  <w:pPr>
                    <w:pStyle w:val="45"/>
                    <w:bidi w:val="0"/>
                    <w:rPr>
                      <w:rFonts w:hint="default" w:ascii="Times New Roman" w:hAnsi="Times New Roman" w:cs="Times New Roman"/>
                    </w:rPr>
                  </w:pPr>
                  <w:r>
                    <w:rPr>
                      <w:rFonts w:hint="default" w:ascii="Times New Roman" w:hAnsi="Times New Roman" w:cs="Times New Roman"/>
                    </w:rPr>
                    <w:t>3</w:t>
                  </w:r>
                </w:p>
              </w:tc>
              <w:tc>
                <w:tcPr>
                  <w:tcW w:w="720" w:type="pct"/>
                  <w:vAlign w:val="center"/>
                </w:tcPr>
                <w:p>
                  <w:pPr>
                    <w:pStyle w:val="45"/>
                    <w:bidi w:val="0"/>
                    <w:rPr>
                      <w:rFonts w:hint="default" w:ascii="Times New Roman" w:hAnsi="Times New Roman" w:cs="Times New Roman"/>
                    </w:rPr>
                  </w:pPr>
                  <w:r>
                    <w:rPr>
                      <w:rFonts w:hint="default" w:ascii="Times New Roman" w:hAnsi="Times New Roman" w:cs="Times New Roman"/>
                    </w:rPr>
                    <w:t>4</w:t>
                  </w:r>
                </w:p>
              </w:tc>
              <w:tc>
                <w:tcPr>
                  <w:tcW w:w="630" w:type="pct"/>
                  <w:vAlign w:val="center"/>
                </w:tcPr>
                <w:p>
                  <w:pPr>
                    <w:pStyle w:val="45"/>
                    <w:bidi w:val="0"/>
                    <w:rPr>
                      <w:rFonts w:hint="default" w:ascii="Times New Roman" w:hAnsi="Times New Roman" w:cs="Times New Roman"/>
                    </w:rPr>
                  </w:pPr>
                  <w:r>
                    <w:rPr>
                      <w:rFonts w:hint="default" w:ascii="Times New Roman" w:hAnsi="Times New Roman" w:cs="Times New Roman"/>
                    </w:rPr>
                    <w:t>5</w:t>
                  </w:r>
                </w:p>
              </w:tc>
              <w:tc>
                <w:tcPr>
                  <w:tcW w:w="700" w:type="pct"/>
                  <w:vAlign w:val="center"/>
                </w:tcPr>
                <w:p>
                  <w:pPr>
                    <w:pStyle w:val="45"/>
                    <w:bidi w:val="0"/>
                    <w:rPr>
                      <w:rFonts w:hint="default" w:ascii="Times New Roman" w:hAnsi="Times New Roman" w:cs="Times New Roman"/>
                    </w:rPr>
                  </w:pPr>
                  <w:r>
                    <w:rPr>
                      <w:rFonts w:hint="default" w:ascii="Times New Roman" w:hAnsi="Times New Roman" w:cs="Times New Roman"/>
                    </w:rPr>
                    <w:t>6</w:t>
                  </w:r>
                </w:p>
              </w:tc>
              <w:tc>
                <w:tcPr>
                  <w:tcW w:w="719" w:type="pct"/>
                  <w:vAlign w:val="center"/>
                </w:tcPr>
                <w:p>
                  <w:pPr>
                    <w:pStyle w:val="45"/>
                    <w:bidi w:val="0"/>
                    <w:rPr>
                      <w:rFonts w:hint="default" w:ascii="Times New Roman" w:hAnsi="Times New Roman" w:cs="Times New Roman"/>
                    </w:rPr>
                  </w:pPr>
                  <w:r>
                    <w:rPr>
                      <w:rFonts w:hint="default" w:ascii="Times New Roman" w:hAnsi="Times New Roman" w:cs="Times New Roma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396" w:type="pct"/>
                  <w:vAlign w:val="center"/>
                </w:tcPr>
                <w:p>
                  <w:pPr>
                    <w:pStyle w:val="45"/>
                    <w:bidi w:val="0"/>
                    <w:rPr>
                      <w:rFonts w:hint="default" w:ascii="Times New Roman" w:hAnsi="Times New Roman" w:cs="Times New Roman"/>
                    </w:rPr>
                  </w:pPr>
                  <w:r>
                    <w:rPr>
                      <w:rFonts w:hint="default" w:ascii="Times New Roman" w:hAnsi="Times New Roman" w:cs="Times New Roman"/>
                    </w:rPr>
                    <w:t>类型</w:t>
                  </w:r>
                </w:p>
              </w:tc>
              <w:tc>
                <w:tcPr>
                  <w:tcW w:w="412" w:type="pct"/>
                  <w:vAlign w:val="center"/>
                </w:tcPr>
                <w:p>
                  <w:pPr>
                    <w:pStyle w:val="45"/>
                    <w:bidi w:val="0"/>
                    <w:rPr>
                      <w:rFonts w:hint="default" w:ascii="Times New Roman" w:hAnsi="Times New Roman" w:cs="Times New Roman"/>
                    </w:rPr>
                  </w:pPr>
                  <w:r>
                    <w:rPr>
                      <w:rFonts w:hint="default" w:ascii="Times New Roman" w:hAnsi="Times New Roman" w:cs="Times New Roman"/>
                    </w:rPr>
                    <w:t>pH值</w:t>
                  </w:r>
                </w:p>
              </w:tc>
              <w:tc>
                <w:tcPr>
                  <w:tcW w:w="686" w:type="pct"/>
                  <w:vAlign w:val="center"/>
                </w:tcPr>
                <w:p>
                  <w:pPr>
                    <w:pStyle w:val="45"/>
                    <w:bidi w:val="0"/>
                    <w:rPr>
                      <w:rFonts w:hint="default" w:ascii="Times New Roman" w:hAnsi="Times New Roman" w:cs="Times New Roman"/>
                    </w:rPr>
                  </w:pPr>
                  <w:r>
                    <w:rPr>
                      <w:rFonts w:hint="default" w:ascii="Times New Roman" w:hAnsi="Times New Roman" w:cs="Times New Roman"/>
                    </w:rPr>
                    <w:t>SS</w:t>
                  </w:r>
                </w:p>
              </w:tc>
              <w:tc>
                <w:tcPr>
                  <w:tcW w:w="733" w:type="pct"/>
                  <w:vAlign w:val="center"/>
                </w:tcPr>
                <w:p>
                  <w:pPr>
                    <w:pStyle w:val="45"/>
                    <w:bidi w:val="0"/>
                    <w:rPr>
                      <w:rFonts w:hint="default" w:ascii="Times New Roman" w:hAnsi="Times New Roman" w:cs="Times New Roman"/>
                    </w:rPr>
                  </w:pPr>
                  <w:r>
                    <w:rPr>
                      <w:rFonts w:hint="default" w:ascii="Times New Roman" w:hAnsi="Times New Roman" w:cs="Times New Roman"/>
                    </w:rPr>
                    <w:t>CODcr</w:t>
                  </w:r>
                </w:p>
              </w:tc>
              <w:tc>
                <w:tcPr>
                  <w:tcW w:w="720" w:type="pct"/>
                  <w:vAlign w:val="center"/>
                </w:tcPr>
                <w:p>
                  <w:pPr>
                    <w:pStyle w:val="45"/>
                    <w:bidi w:val="0"/>
                    <w:rPr>
                      <w:rFonts w:hint="default" w:ascii="Times New Roman" w:hAnsi="Times New Roman" w:cs="Times New Roman"/>
                    </w:rPr>
                  </w:pPr>
                  <w:r>
                    <w:rPr>
                      <w:rFonts w:hint="default" w:ascii="Times New Roman" w:hAnsi="Times New Roman" w:cs="Times New Roman"/>
                    </w:rPr>
                    <w:t>BOD</w:t>
                  </w:r>
                  <w:r>
                    <w:rPr>
                      <w:rFonts w:hint="default" w:ascii="Times New Roman" w:hAnsi="Times New Roman" w:cs="Times New Roman"/>
                      <w:vertAlign w:val="subscript"/>
                    </w:rPr>
                    <w:t>5</w:t>
                  </w:r>
                </w:p>
              </w:tc>
              <w:tc>
                <w:tcPr>
                  <w:tcW w:w="630" w:type="pct"/>
                  <w:vAlign w:val="center"/>
                </w:tcPr>
                <w:p>
                  <w:pPr>
                    <w:pStyle w:val="45"/>
                    <w:bidi w:val="0"/>
                    <w:rPr>
                      <w:rFonts w:hint="default" w:ascii="Times New Roman" w:hAnsi="Times New Roman" w:cs="Times New Roman"/>
                    </w:rPr>
                  </w:pPr>
                  <w:r>
                    <w:rPr>
                      <w:rFonts w:hint="default" w:ascii="Times New Roman" w:hAnsi="Times New Roman" w:cs="Times New Roman"/>
                    </w:rPr>
                    <w:t>氨氮</w:t>
                  </w:r>
                </w:p>
              </w:tc>
              <w:tc>
                <w:tcPr>
                  <w:tcW w:w="700" w:type="pct"/>
                  <w:vAlign w:val="center"/>
                </w:tcPr>
                <w:p>
                  <w:pPr>
                    <w:pStyle w:val="45"/>
                    <w:bidi w:val="0"/>
                    <w:rPr>
                      <w:rFonts w:hint="default" w:ascii="Times New Roman" w:hAnsi="Times New Roman" w:cs="Times New Roman"/>
                    </w:rPr>
                  </w:pPr>
                  <w:r>
                    <w:rPr>
                      <w:rFonts w:hint="default" w:ascii="Times New Roman" w:hAnsi="Times New Roman" w:cs="Times New Roman"/>
                    </w:rPr>
                    <w:t>T-P</w:t>
                  </w:r>
                </w:p>
              </w:tc>
              <w:tc>
                <w:tcPr>
                  <w:tcW w:w="719" w:type="pct"/>
                  <w:vAlign w:val="center"/>
                </w:tcPr>
                <w:p>
                  <w:pPr>
                    <w:pStyle w:val="45"/>
                    <w:bidi w:val="0"/>
                    <w:rPr>
                      <w:rFonts w:hint="default" w:ascii="Times New Roman" w:hAnsi="Times New Roman" w:cs="Times New Roman"/>
                    </w:rPr>
                  </w:pPr>
                  <w:r>
                    <w:rPr>
                      <w:rFonts w:hint="default" w:ascii="Times New Roman" w:hAnsi="Times New Roman" w:cs="Times New Roman"/>
                    </w:rPr>
                    <w:t>动植物油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396" w:type="pct"/>
                  <w:vAlign w:val="center"/>
                </w:tcPr>
                <w:p>
                  <w:pPr>
                    <w:pStyle w:val="45"/>
                    <w:bidi w:val="0"/>
                    <w:rPr>
                      <w:rFonts w:hint="default" w:ascii="Times New Roman" w:hAnsi="Times New Roman" w:cs="Times New Roman"/>
                    </w:rPr>
                  </w:pPr>
                  <w:r>
                    <w:rPr>
                      <w:rFonts w:hint="default" w:ascii="Times New Roman" w:hAnsi="Times New Roman" w:cs="Times New Roman"/>
                    </w:rPr>
                    <w:t>标准</w:t>
                  </w:r>
                </w:p>
              </w:tc>
              <w:tc>
                <w:tcPr>
                  <w:tcW w:w="412" w:type="pct"/>
                  <w:vAlign w:val="center"/>
                </w:tcPr>
                <w:p>
                  <w:pPr>
                    <w:pStyle w:val="45"/>
                    <w:bidi w:val="0"/>
                    <w:rPr>
                      <w:rFonts w:hint="default" w:ascii="Times New Roman" w:hAnsi="Times New Roman" w:cs="Times New Roman"/>
                    </w:rPr>
                  </w:pPr>
                  <w:r>
                    <w:rPr>
                      <w:rFonts w:hint="default" w:ascii="Times New Roman" w:hAnsi="Times New Roman" w:cs="Times New Roman"/>
                    </w:rPr>
                    <w:t>6.5-9.5</w:t>
                  </w:r>
                </w:p>
              </w:tc>
              <w:tc>
                <w:tcPr>
                  <w:tcW w:w="686" w:type="pct"/>
                  <w:vAlign w:val="center"/>
                </w:tcPr>
                <w:p>
                  <w:pPr>
                    <w:pStyle w:val="45"/>
                    <w:bidi w:val="0"/>
                    <w:rPr>
                      <w:rFonts w:hint="default" w:ascii="Times New Roman" w:hAnsi="Times New Roman" w:cs="Times New Roman"/>
                    </w:rPr>
                  </w:pPr>
                  <w:r>
                    <w:rPr>
                      <w:rFonts w:hint="default" w:ascii="Times New Roman" w:hAnsi="Times New Roman" w:cs="Times New Roman"/>
                    </w:rPr>
                    <w:t>≤400mg/L</w:t>
                  </w:r>
                </w:p>
              </w:tc>
              <w:tc>
                <w:tcPr>
                  <w:tcW w:w="733" w:type="pct"/>
                  <w:vAlign w:val="center"/>
                </w:tcPr>
                <w:p>
                  <w:pPr>
                    <w:pStyle w:val="45"/>
                    <w:bidi w:val="0"/>
                    <w:rPr>
                      <w:rFonts w:hint="default" w:ascii="Times New Roman" w:hAnsi="Times New Roman" w:cs="Times New Roman"/>
                    </w:rPr>
                  </w:pPr>
                  <w:r>
                    <w:rPr>
                      <w:rFonts w:hint="default" w:ascii="Times New Roman" w:hAnsi="Times New Roman" w:cs="Times New Roman"/>
                    </w:rPr>
                    <w:t>≤500mg/L</w:t>
                  </w:r>
                </w:p>
              </w:tc>
              <w:tc>
                <w:tcPr>
                  <w:tcW w:w="720" w:type="pct"/>
                  <w:vAlign w:val="center"/>
                </w:tcPr>
                <w:p>
                  <w:pPr>
                    <w:pStyle w:val="45"/>
                    <w:bidi w:val="0"/>
                    <w:rPr>
                      <w:rFonts w:hint="default" w:ascii="Times New Roman" w:hAnsi="Times New Roman" w:cs="Times New Roman"/>
                    </w:rPr>
                  </w:pPr>
                  <w:r>
                    <w:rPr>
                      <w:rFonts w:hint="default" w:ascii="Times New Roman" w:hAnsi="Times New Roman" w:cs="Times New Roman"/>
                    </w:rPr>
                    <w:t>≤350mg/L</w:t>
                  </w:r>
                </w:p>
              </w:tc>
              <w:tc>
                <w:tcPr>
                  <w:tcW w:w="630" w:type="pct"/>
                  <w:vAlign w:val="center"/>
                </w:tcPr>
                <w:p>
                  <w:pPr>
                    <w:pStyle w:val="45"/>
                    <w:bidi w:val="0"/>
                    <w:rPr>
                      <w:rFonts w:hint="default" w:ascii="Times New Roman" w:hAnsi="Times New Roman" w:cs="Times New Roman"/>
                    </w:rPr>
                  </w:pPr>
                  <w:r>
                    <w:rPr>
                      <w:rFonts w:hint="default" w:ascii="Times New Roman" w:hAnsi="Times New Roman" w:cs="Times New Roman"/>
                    </w:rPr>
                    <w:t>≤45mg/L</w:t>
                  </w:r>
                </w:p>
              </w:tc>
              <w:tc>
                <w:tcPr>
                  <w:tcW w:w="700" w:type="pct"/>
                  <w:vAlign w:val="center"/>
                </w:tcPr>
                <w:p>
                  <w:pPr>
                    <w:pStyle w:val="45"/>
                    <w:bidi w:val="0"/>
                    <w:rPr>
                      <w:rFonts w:hint="default" w:ascii="Times New Roman" w:hAnsi="Times New Roman" w:cs="Times New Roman"/>
                    </w:rPr>
                  </w:pPr>
                  <w:r>
                    <w:rPr>
                      <w:rFonts w:hint="default" w:ascii="Times New Roman" w:hAnsi="Times New Roman" w:cs="Times New Roman"/>
                    </w:rPr>
                    <w:t>≤8.0mg/L</w:t>
                  </w:r>
                </w:p>
              </w:tc>
              <w:tc>
                <w:tcPr>
                  <w:tcW w:w="719" w:type="pct"/>
                  <w:vAlign w:val="center"/>
                </w:tcPr>
                <w:p>
                  <w:pPr>
                    <w:pStyle w:val="45"/>
                    <w:bidi w:val="0"/>
                    <w:rPr>
                      <w:rFonts w:hint="default" w:ascii="Times New Roman" w:hAnsi="Times New Roman" w:cs="Times New Roman"/>
                    </w:rPr>
                  </w:pPr>
                  <w:r>
                    <w:rPr>
                      <w:rFonts w:hint="default" w:ascii="Times New Roman" w:hAnsi="Times New Roman" w:cs="Times New Roman"/>
                    </w:rPr>
                    <w:t>≤100mg/L</w:t>
                  </w:r>
                </w:p>
              </w:tc>
            </w:tr>
          </w:tbl>
          <w:p>
            <w:pPr>
              <w:pStyle w:val="14"/>
              <w:adjustRightInd w:val="0"/>
              <w:snapToGrid w:val="0"/>
              <w:spacing w:line="360" w:lineRule="auto"/>
              <w:ind w:firstLine="482" w:firstLineChars="200"/>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3、噪声</w:t>
            </w:r>
          </w:p>
          <w:p>
            <w:pPr>
              <w:adjustRightInd w:val="0"/>
              <w:snapToGrid w:val="0"/>
              <w:spacing w:line="360" w:lineRule="auto"/>
              <w:ind w:firstLine="48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（1）施工期</w:t>
            </w:r>
          </w:p>
          <w:p>
            <w:pPr>
              <w:adjustRightInd w:val="0"/>
              <w:snapToGrid w:val="0"/>
              <w:spacing w:line="348" w:lineRule="auto"/>
              <w:ind w:firstLine="480" w:firstLineChars="200"/>
              <w:jc w:val="left"/>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szCs w:val="21"/>
              </w:rPr>
              <w:t>项目施工期噪声执行</w:t>
            </w:r>
            <w:r>
              <w:rPr>
                <w:rFonts w:hint="default" w:ascii="Times New Roman" w:hAnsi="Times New Roman" w:cs="Times New Roman" w:eastAsiaTheme="minorEastAsia"/>
                <w:color w:val="auto"/>
                <w:kern w:val="0"/>
                <w:szCs w:val="21"/>
              </w:rPr>
              <w:t>《建筑施工场界环境噪声排放标准》</w:t>
            </w:r>
            <w:r>
              <w:rPr>
                <w:rFonts w:hint="default" w:ascii="Times New Roman" w:hAnsi="Times New Roman" w:cs="Times New Roman" w:eastAsiaTheme="minorEastAsia"/>
                <w:color w:val="auto"/>
                <w:kern w:val="0"/>
                <w:szCs w:val="21"/>
                <w:lang w:eastAsia="zh-CN"/>
              </w:rPr>
              <w:t>（</w:t>
            </w:r>
            <w:r>
              <w:rPr>
                <w:rFonts w:hint="default" w:ascii="Times New Roman" w:hAnsi="Times New Roman" w:cs="Times New Roman" w:eastAsiaTheme="minorEastAsia"/>
                <w:color w:val="auto"/>
                <w:kern w:val="0"/>
                <w:szCs w:val="21"/>
              </w:rPr>
              <w:t>GB12523-2011</w:t>
            </w:r>
            <w:r>
              <w:rPr>
                <w:rFonts w:hint="default" w:ascii="Times New Roman" w:hAnsi="Times New Roman" w:cs="Times New Roman" w:eastAsiaTheme="minorEastAsia"/>
                <w:color w:val="auto"/>
                <w:kern w:val="0"/>
                <w:szCs w:val="21"/>
                <w:lang w:eastAsia="zh-CN"/>
              </w:rPr>
              <w:t>）</w:t>
            </w:r>
            <w:r>
              <w:rPr>
                <w:rFonts w:hint="default" w:ascii="Times New Roman" w:hAnsi="Times New Roman" w:cs="Times New Roman" w:eastAsiaTheme="minorEastAsia"/>
                <w:color w:val="auto"/>
                <w:kern w:val="0"/>
                <w:szCs w:val="21"/>
              </w:rPr>
              <w:t>标准限值见表3-1</w:t>
            </w:r>
            <w:r>
              <w:rPr>
                <w:rFonts w:hint="default" w:ascii="Times New Roman" w:hAnsi="Times New Roman" w:cs="Times New Roman" w:eastAsiaTheme="minorEastAsia"/>
                <w:color w:val="auto"/>
                <w:kern w:val="0"/>
                <w:szCs w:val="21"/>
                <w:lang w:val="en-US" w:eastAsia="zh-CN"/>
              </w:rPr>
              <w:t>2</w:t>
            </w:r>
            <w:r>
              <w:rPr>
                <w:rFonts w:hint="default" w:ascii="Times New Roman" w:hAnsi="Times New Roman" w:cs="Times New Roman" w:eastAsiaTheme="minorEastAsia"/>
                <w:color w:val="auto"/>
                <w:kern w:val="0"/>
                <w:szCs w:val="21"/>
              </w:rPr>
              <w:t>。</w:t>
            </w:r>
          </w:p>
          <w:p>
            <w:pPr>
              <w:pStyle w:val="36"/>
              <w:bidi w:val="0"/>
              <w:rPr>
                <w:rFonts w:hint="default" w:ascii="Times New Roman" w:hAnsi="Times New Roman" w:cs="Times New Roman" w:eastAsiaTheme="minorEastAsia"/>
                <w:b/>
                <w:color w:val="auto"/>
                <w:szCs w:val="21"/>
                <w:lang w:eastAsia="zh-CN"/>
              </w:rPr>
            </w:pPr>
            <w:r>
              <w:rPr>
                <w:rFonts w:hint="default" w:ascii="Times New Roman" w:hAnsi="Times New Roman" w:cs="Times New Roman"/>
              </w:rPr>
              <w:t>表3-1</w:t>
            </w:r>
            <w:r>
              <w:rPr>
                <w:rFonts w:hint="default" w:ascii="Times New Roman" w:hAnsi="Times New Roman" w:cs="Times New Roman"/>
                <w:lang w:val="en-US" w:eastAsia="zh-CN"/>
              </w:rPr>
              <w:t>2</w:t>
            </w:r>
            <w:r>
              <w:rPr>
                <w:rFonts w:hint="default" w:ascii="Times New Roman" w:hAnsi="Times New Roman" w:cs="Times New Roman"/>
              </w:rPr>
              <w:t>建筑施工场界环境噪声排放标准单位：dB</w:t>
            </w:r>
            <w:r>
              <w:rPr>
                <w:rFonts w:hint="default" w:ascii="Times New Roman" w:hAnsi="Times New Roman" w:cs="Times New Roman"/>
                <w:lang w:eastAsia="zh-CN"/>
              </w:rPr>
              <w:t>（</w:t>
            </w:r>
            <w:r>
              <w:rPr>
                <w:rFonts w:hint="default" w:ascii="Times New Roman" w:hAnsi="Times New Roman" w:cs="Times New Roman"/>
              </w:rPr>
              <w:t>A</w:t>
            </w:r>
            <w:r>
              <w:rPr>
                <w:rFonts w:hint="default" w:ascii="Times New Roman" w:hAnsi="Times New Roman" w:cs="Times New Roman"/>
                <w:lang w:eastAsia="zh-CN"/>
              </w:rPr>
              <w:t>）</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1570"/>
              <w:gridCol w:w="1396"/>
              <w:gridCol w:w="3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Align w:val="center"/>
                </w:tcPr>
                <w:p>
                  <w:pPr>
                    <w:pStyle w:val="45"/>
                    <w:bidi w:val="0"/>
                    <w:rPr>
                      <w:rFonts w:hint="default" w:ascii="Times New Roman" w:hAnsi="Times New Roman" w:cs="Times New Roman"/>
                    </w:rPr>
                  </w:pPr>
                  <w:r>
                    <w:rPr>
                      <w:rFonts w:hint="default" w:ascii="Times New Roman" w:hAnsi="Times New Roman" w:cs="Times New Roman"/>
                    </w:rPr>
                    <w:t>环境要素</w:t>
                  </w:r>
                </w:p>
              </w:tc>
              <w:tc>
                <w:tcPr>
                  <w:tcW w:w="1825" w:type="pct"/>
                  <w:gridSpan w:val="2"/>
                  <w:vAlign w:val="center"/>
                </w:tcPr>
                <w:p>
                  <w:pPr>
                    <w:pStyle w:val="45"/>
                    <w:bidi w:val="0"/>
                    <w:rPr>
                      <w:rFonts w:hint="default" w:ascii="Times New Roman" w:hAnsi="Times New Roman" w:cs="Times New Roman"/>
                    </w:rPr>
                  </w:pPr>
                  <w:r>
                    <w:rPr>
                      <w:rFonts w:hint="default" w:ascii="Times New Roman" w:hAnsi="Times New Roman" w:cs="Times New Roman"/>
                    </w:rPr>
                    <w:t>标准值</w:t>
                  </w:r>
                </w:p>
              </w:tc>
              <w:tc>
                <w:tcPr>
                  <w:tcW w:w="2238" w:type="pct"/>
                  <w:vAlign w:val="center"/>
                </w:tcPr>
                <w:p>
                  <w:pPr>
                    <w:pStyle w:val="45"/>
                    <w:bidi w:val="0"/>
                    <w:rPr>
                      <w:rFonts w:hint="default" w:ascii="Times New Roman" w:hAnsi="Times New Roman" w:cs="Times New Roman"/>
                    </w:rPr>
                  </w:pPr>
                  <w:r>
                    <w:rPr>
                      <w:rFonts w:hint="default" w:ascii="Times New Roman" w:hAnsi="Times New Roman" w:cs="Times New Roma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restart"/>
                  <w:vAlign w:val="center"/>
                </w:tcPr>
                <w:p>
                  <w:pPr>
                    <w:pStyle w:val="45"/>
                    <w:bidi w:val="0"/>
                    <w:rPr>
                      <w:rFonts w:hint="default" w:ascii="Times New Roman" w:hAnsi="Times New Roman" w:cs="Times New Roman"/>
                    </w:rPr>
                  </w:pPr>
                  <w:r>
                    <w:rPr>
                      <w:rFonts w:hint="default" w:ascii="Times New Roman" w:hAnsi="Times New Roman" w:cs="Times New Roman"/>
                    </w:rPr>
                    <w:t>噪声</w:t>
                  </w:r>
                </w:p>
              </w:tc>
              <w:tc>
                <w:tcPr>
                  <w:tcW w:w="966" w:type="pct"/>
                  <w:vAlign w:val="center"/>
                </w:tcPr>
                <w:p>
                  <w:pPr>
                    <w:pStyle w:val="45"/>
                    <w:bidi w:val="0"/>
                    <w:rPr>
                      <w:rFonts w:hint="default" w:ascii="Times New Roman" w:hAnsi="Times New Roman" w:cs="Times New Roman"/>
                    </w:rPr>
                  </w:pPr>
                  <w:r>
                    <w:rPr>
                      <w:rFonts w:hint="default" w:ascii="Times New Roman" w:hAnsi="Times New Roman" w:cs="Times New Roman"/>
                    </w:rPr>
                    <w:t>昼间</w:t>
                  </w:r>
                </w:p>
              </w:tc>
              <w:tc>
                <w:tcPr>
                  <w:tcW w:w="859" w:type="pct"/>
                  <w:vAlign w:val="center"/>
                </w:tcPr>
                <w:p>
                  <w:pPr>
                    <w:pStyle w:val="45"/>
                    <w:bidi w:val="0"/>
                    <w:rPr>
                      <w:rFonts w:hint="default" w:ascii="Times New Roman" w:hAnsi="Times New Roman" w:cs="Times New Roman"/>
                    </w:rPr>
                  </w:pPr>
                  <w:r>
                    <w:rPr>
                      <w:rFonts w:hint="default" w:ascii="Times New Roman" w:hAnsi="Times New Roman" w:cs="Times New Roman"/>
                    </w:rPr>
                    <w:t>夜间</w:t>
                  </w:r>
                </w:p>
              </w:tc>
              <w:tc>
                <w:tcPr>
                  <w:tcW w:w="2238" w:type="pct"/>
                  <w:vMerge w:val="restart"/>
                  <w:vAlign w:val="center"/>
                </w:tcPr>
                <w:p>
                  <w:pPr>
                    <w:pStyle w:val="45"/>
                    <w:bidi w:val="0"/>
                    <w:rPr>
                      <w:rFonts w:hint="default" w:ascii="Times New Roman" w:hAnsi="Times New Roman" w:cs="Times New Roman"/>
                    </w:rPr>
                  </w:pPr>
                  <w:r>
                    <w:rPr>
                      <w:rFonts w:hint="default" w:ascii="Times New Roman" w:hAnsi="Times New Roman" w:cs="Times New Roman"/>
                    </w:rPr>
                    <w:t>《建筑施工场界环境噪声排放标准》（GB12523－2011）表1中排放限值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continue"/>
                  <w:vAlign w:val="center"/>
                </w:tcPr>
                <w:p>
                  <w:pPr>
                    <w:pStyle w:val="45"/>
                    <w:bidi w:val="0"/>
                    <w:rPr>
                      <w:rFonts w:hint="default" w:ascii="Times New Roman" w:hAnsi="Times New Roman" w:cs="Times New Roman"/>
                    </w:rPr>
                  </w:pPr>
                </w:p>
              </w:tc>
              <w:tc>
                <w:tcPr>
                  <w:tcW w:w="966" w:type="pct"/>
                  <w:vAlign w:val="center"/>
                </w:tcPr>
                <w:p>
                  <w:pPr>
                    <w:pStyle w:val="45"/>
                    <w:bidi w:val="0"/>
                    <w:rPr>
                      <w:rFonts w:hint="default" w:ascii="Times New Roman" w:hAnsi="Times New Roman" w:cs="Times New Roman"/>
                    </w:rPr>
                  </w:pPr>
                  <w:r>
                    <w:rPr>
                      <w:rFonts w:hint="default" w:ascii="Times New Roman" w:hAnsi="Times New Roman" w:cs="Times New Roman"/>
                    </w:rPr>
                    <w:t>70</w:t>
                  </w:r>
                </w:p>
              </w:tc>
              <w:tc>
                <w:tcPr>
                  <w:tcW w:w="859" w:type="pct"/>
                  <w:vAlign w:val="center"/>
                </w:tcPr>
                <w:p>
                  <w:pPr>
                    <w:pStyle w:val="45"/>
                    <w:bidi w:val="0"/>
                    <w:rPr>
                      <w:rFonts w:hint="default" w:ascii="Times New Roman" w:hAnsi="Times New Roman" w:cs="Times New Roman"/>
                    </w:rPr>
                  </w:pPr>
                  <w:r>
                    <w:rPr>
                      <w:rFonts w:hint="default" w:ascii="Times New Roman" w:hAnsi="Times New Roman" w:cs="Times New Roman"/>
                    </w:rPr>
                    <w:t>55</w:t>
                  </w:r>
                </w:p>
              </w:tc>
              <w:tc>
                <w:tcPr>
                  <w:tcW w:w="2238" w:type="pct"/>
                  <w:vMerge w:val="continue"/>
                  <w:vAlign w:val="center"/>
                </w:tcPr>
                <w:p>
                  <w:pPr>
                    <w:pStyle w:val="45"/>
                    <w:bidi w:val="0"/>
                    <w:rPr>
                      <w:rFonts w:hint="default" w:ascii="Times New Roman" w:hAnsi="Times New Roman" w:cs="Times New Roman"/>
                    </w:rPr>
                  </w:pPr>
                </w:p>
              </w:tc>
            </w:tr>
          </w:tbl>
          <w:p>
            <w:pPr>
              <w:adjustRightInd w:val="0"/>
              <w:snapToGrid w:val="0"/>
              <w:spacing w:line="360" w:lineRule="auto"/>
              <w:ind w:firstLine="48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（2）运营期</w:t>
            </w:r>
          </w:p>
          <w:p>
            <w:pPr>
              <w:adjustRightInd w:val="0"/>
              <w:snapToGrid w:val="0"/>
              <w:spacing w:line="360" w:lineRule="auto"/>
              <w:ind w:firstLine="48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项目建设地址位于</w:t>
            </w:r>
            <w:r>
              <w:rPr>
                <w:rFonts w:hint="default" w:ascii="Times New Roman" w:hAnsi="Times New Roman" w:cs="Times New Roman" w:eastAsiaTheme="minorEastAsia"/>
                <w:color w:val="auto"/>
                <w:szCs w:val="21"/>
                <w:lang w:eastAsia="zh-CN"/>
              </w:rPr>
              <w:t>云南澄江产业园区提古片区</w:t>
            </w:r>
            <w:r>
              <w:rPr>
                <w:rFonts w:hint="default" w:ascii="Times New Roman" w:hAnsi="Times New Roman" w:cs="Times New Roman" w:eastAsiaTheme="minorEastAsia"/>
                <w:color w:val="auto"/>
                <w:szCs w:val="21"/>
              </w:rPr>
              <w:t>，项目</w:t>
            </w:r>
            <w:r>
              <w:rPr>
                <w:rFonts w:hint="default" w:ascii="Times New Roman" w:hAnsi="Times New Roman" w:cs="Times New Roman" w:eastAsiaTheme="minorEastAsia"/>
                <w:color w:val="auto"/>
                <w:szCs w:val="21"/>
                <w:lang w:val="en-US" w:eastAsia="zh-CN"/>
              </w:rPr>
              <w:t>厂界四周</w:t>
            </w:r>
            <w:r>
              <w:rPr>
                <w:rFonts w:hint="default" w:ascii="Times New Roman" w:hAnsi="Times New Roman" w:cs="Times New Roman" w:eastAsiaTheme="minorEastAsia"/>
                <w:color w:val="auto"/>
                <w:szCs w:val="21"/>
              </w:rPr>
              <w:t>执行《工业企业厂界环境噪声排放标准》（GB12348-2008）3类标准，</w:t>
            </w:r>
            <w:r>
              <w:rPr>
                <w:rFonts w:hint="default" w:ascii="Times New Roman" w:hAnsi="Times New Roman" w:cs="Times New Roman" w:eastAsiaTheme="minorEastAsia"/>
                <w:color w:val="auto"/>
                <w:szCs w:val="21"/>
                <w:lang w:val="en-US" w:eastAsia="zh-CN"/>
              </w:rPr>
              <w:t>敏感目标</w:t>
            </w:r>
            <w:r>
              <w:rPr>
                <w:rFonts w:hint="default" w:ascii="Times New Roman" w:hAnsi="Times New Roman" w:cs="Times New Roman" w:eastAsiaTheme="minorEastAsia"/>
                <w:color w:val="auto"/>
                <w:szCs w:val="21"/>
              </w:rPr>
              <w:t>执行《工业企业厂界环境噪声排放标准》（GB12348-2008）</w:t>
            </w:r>
            <w:r>
              <w:rPr>
                <w:rFonts w:hint="default" w:ascii="Times New Roman" w:hAnsi="Times New Roman" w:cs="Times New Roman" w:eastAsiaTheme="minorEastAsia"/>
                <w:color w:val="auto"/>
                <w:szCs w:val="21"/>
                <w:lang w:val="en-US" w:eastAsia="zh-CN"/>
              </w:rPr>
              <w:t>2</w:t>
            </w:r>
            <w:r>
              <w:rPr>
                <w:rFonts w:hint="default" w:ascii="Times New Roman" w:hAnsi="Times New Roman" w:cs="Times New Roman" w:eastAsiaTheme="minorEastAsia"/>
                <w:color w:val="auto"/>
                <w:szCs w:val="21"/>
              </w:rPr>
              <w:t>类标准，</w:t>
            </w:r>
            <w:r>
              <w:rPr>
                <w:rFonts w:hint="default" w:ascii="Times New Roman" w:hAnsi="Times New Roman" w:cs="Times New Roman" w:eastAsiaTheme="minorEastAsia"/>
                <w:color w:val="auto"/>
                <w:kern w:val="0"/>
                <w:szCs w:val="21"/>
              </w:rPr>
              <w:t>标准限值</w:t>
            </w:r>
            <w:r>
              <w:rPr>
                <w:rFonts w:hint="default" w:ascii="Times New Roman" w:hAnsi="Times New Roman" w:cs="Times New Roman" w:eastAsiaTheme="minorEastAsia"/>
                <w:color w:val="auto"/>
                <w:szCs w:val="21"/>
              </w:rPr>
              <w:t>详见表3-1</w:t>
            </w:r>
            <w:r>
              <w:rPr>
                <w:rFonts w:hint="default" w:ascii="Times New Roman" w:hAnsi="Times New Roman" w:cs="Times New Roman" w:eastAsiaTheme="minorEastAsia"/>
                <w:color w:val="auto"/>
                <w:szCs w:val="21"/>
                <w:lang w:val="en-US" w:eastAsia="zh-CN"/>
              </w:rPr>
              <w:t>3</w:t>
            </w:r>
            <w:r>
              <w:rPr>
                <w:rFonts w:hint="default" w:ascii="Times New Roman" w:hAnsi="Times New Roman" w:cs="Times New Roman" w:eastAsiaTheme="minorEastAsia"/>
                <w:color w:val="auto"/>
                <w:szCs w:val="21"/>
              </w:rPr>
              <w:t>。</w:t>
            </w:r>
          </w:p>
          <w:p>
            <w:pPr>
              <w:pStyle w:val="36"/>
              <w:bidi w:val="0"/>
              <w:rPr>
                <w:rFonts w:hint="default" w:ascii="Times New Roman" w:hAnsi="Times New Roman" w:cs="Times New Roman"/>
              </w:rPr>
            </w:pPr>
            <w:r>
              <w:rPr>
                <w:rFonts w:hint="default" w:ascii="Times New Roman" w:hAnsi="Times New Roman" w:cs="Times New Roman"/>
              </w:rPr>
              <w:t>表3-1</w:t>
            </w:r>
            <w:r>
              <w:rPr>
                <w:rFonts w:hint="default" w:ascii="Times New Roman" w:hAnsi="Times New Roman" w:cs="Times New Roman"/>
                <w:lang w:val="en-US" w:eastAsia="zh-CN"/>
              </w:rPr>
              <w:t>3</w:t>
            </w:r>
            <w:r>
              <w:rPr>
                <w:rFonts w:hint="default" w:ascii="Times New Roman" w:hAnsi="Times New Roman" w:cs="Times New Roman"/>
              </w:rPr>
              <w:t>工业企业厂界环境噪声排放标准单位：dB（A）</w:t>
            </w:r>
          </w:p>
          <w:tbl>
            <w:tblPr>
              <w:tblStyle w:val="28"/>
              <w:tblW w:w="8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9"/>
              <w:gridCol w:w="2381"/>
              <w:gridCol w:w="2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9" w:type="dxa"/>
                  <w:vMerge w:val="restart"/>
                  <w:vAlign w:val="center"/>
                </w:tcPr>
                <w:p>
                  <w:pPr>
                    <w:pStyle w:val="45"/>
                    <w:bidi w:val="0"/>
                    <w:rPr>
                      <w:rFonts w:hint="default" w:ascii="Times New Roman" w:hAnsi="Times New Roman" w:cs="Times New Roman"/>
                    </w:rPr>
                  </w:pPr>
                  <w:r>
                    <w:rPr>
                      <w:rFonts w:hint="default" w:ascii="Times New Roman" w:hAnsi="Times New Roman" w:cs="Times New Roman"/>
                    </w:rPr>
                    <w:t>类别</w:t>
                  </w:r>
                </w:p>
              </w:tc>
              <w:tc>
                <w:tcPr>
                  <w:tcW w:w="4970" w:type="dxa"/>
                  <w:gridSpan w:val="2"/>
                  <w:vAlign w:val="center"/>
                </w:tcPr>
                <w:p>
                  <w:pPr>
                    <w:pStyle w:val="45"/>
                    <w:bidi w:val="0"/>
                    <w:rPr>
                      <w:rFonts w:hint="default" w:ascii="Times New Roman" w:hAnsi="Times New Roman" w:cs="Times New Roman"/>
                    </w:rPr>
                  </w:pPr>
                  <w:r>
                    <w:rPr>
                      <w:rFonts w:hint="default" w:ascii="Times New Roman" w:hAnsi="Times New Roman" w:cs="Times New Roman"/>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9" w:type="dxa"/>
                  <w:vMerge w:val="continue"/>
                  <w:vAlign w:val="center"/>
                </w:tcPr>
                <w:p>
                  <w:pPr>
                    <w:pStyle w:val="45"/>
                    <w:bidi w:val="0"/>
                    <w:rPr>
                      <w:rFonts w:hint="default" w:ascii="Times New Roman" w:hAnsi="Times New Roman" w:cs="Times New Roman"/>
                    </w:rPr>
                  </w:pPr>
                </w:p>
              </w:tc>
              <w:tc>
                <w:tcPr>
                  <w:tcW w:w="2381" w:type="dxa"/>
                  <w:vAlign w:val="center"/>
                </w:tcPr>
                <w:p>
                  <w:pPr>
                    <w:pStyle w:val="45"/>
                    <w:bidi w:val="0"/>
                    <w:rPr>
                      <w:rFonts w:hint="default" w:ascii="Times New Roman" w:hAnsi="Times New Roman" w:cs="Times New Roman"/>
                    </w:rPr>
                  </w:pPr>
                  <w:r>
                    <w:rPr>
                      <w:rFonts w:hint="default" w:ascii="Times New Roman" w:hAnsi="Times New Roman" w:cs="Times New Roman"/>
                    </w:rPr>
                    <w:t>昼间</w:t>
                  </w:r>
                </w:p>
              </w:tc>
              <w:tc>
                <w:tcPr>
                  <w:tcW w:w="2589" w:type="dxa"/>
                  <w:vAlign w:val="center"/>
                </w:tcPr>
                <w:p>
                  <w:pPr>
                    <w:pStyle w:val="45"/>
                    <w:bidi w:val="0"/>
                    <w:rPr>
                      <w:rFonts w:hint="default" w:ascii="Times New Roman" w:hAnsi="Times New Roman" w:cs="Times New Roman"/>
                    </w:rPr>
                  </w:pPr>
                  <w:r>
                    <w:rPr>
                      <w:rFonts w:hint="default" w:ascii="Times New Roman" w:hAnsi="Times New Roman" w:cs="Times New Roma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9" w:type="dxa"/>
                  <w:vAlign w:val="center"/>
                </w:tcPr>
                <w:p>
                  <w:pPr>
                    <w:pStyle w:val="45"/>
                    <w:bidi w:val="0"/>
                    <w:rPr>
                      <w:rFonts w:hint="default" w:ascii="Times New Roman" w:hAnsi="Times New Roman" w:cs="Times New Roman"/>
                    </w:rPr>
                  </w:pPr>
                  <w:r>
                    <w:rPr>
                      <w:rFonts w:hint="default" w:ascii="Times New Roman" w:hAnsi="Times New Roman" w:cs="Times New Roman"/>
                    </w:rPr>
                    <w:t>3类</w:t>
                  </w:r>
                </w:p>
              </w:tc>
              <w:tc>
                <w:tcPr>
                  <w:tcW w:w="2381" w:type="dxa"/>
                  <w:vAlign w:val="center"/>
                </w:tcPr>
                <w:p>
                  <w:pPr>
                    <w:pStyle w:val="45"/>
                    <w:bidi w:val="0"/>
                    <w:rPr>
                      <w:rFonts w:hint="default" w:ascii="Times New Roman" w:hAnsi="Times New Roman" w:cs="Times New Roman"/>
                    </w:rPr>
                  </w:pPr>
                  <w:r>
                    <w:rPr>
                      <w:rFonts w:hint="default" w:ascii="Times New Roman" w:hAnsi="Times New Roman" w:cs="Times New Roman"/>
                    </w:rPr>
                    <w:t>65</w:t>
                  </w:r>
                </w:p>
              </w:tc>
              <w:tc>
                <w:tcPr>
                  <w:tcW w:w="2589" w:type="dxa"/>
                  <w:vAlign w:val="center"/>
                </w:tcPr>
                <w:p>
                  <w:pPr>
                    <w:pStyle w:val="45"/>
                    <w:bidi w:val="0"/>
                    <w:rPr>
                      <w:rFonts w:hint="default" w:ascii="Times New Roman" w:hAnsi="Times New Roman" w:cs="Times New Roman"/>
                    </w:rPr>
                  </w:pPr>
                  <w:r>
                    <w:rPr>
                      <w:rFonts w:hint="default" w:ascii="Times New Roman" w:hAnsi="Times New Roman" w:cs="Times New Roma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9" w:type="dxa"/>
                  <w:vAlign w:val="center"/>
                </w:tcPr>
                <w:p>
                  <w:pPr>
                    <w:pStyle w:val="45"/>
                    <w:bidi w:val="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类</w:t>
                  </w:r>
                </w:p>
              </w:tc>
              <w:tc>
                <w:tcPr>
                  <w:tcW w:w="2381" w:type="dxa"/>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60</w:t>
                  </w:r>
                </w:p>
              </w:tc>
              <w:tc>
                <w:tcPr>
                  <w:tcW w:w="2589" w:type="dxa"/>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50</w:t>
                  </w:r>
                </w:p>
              </w:tc>
            </w:tr>
          </w:tbl>
          <w:p>
            <w:pPr>
              <w:spacing w:before="120" w:beforeLines="50" w:line="360" w:lineRule="auto"/>
              <w:ind w:firstLine="482" w:firstLineChars="200"/>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4、固体废物</w:t>
            </w:r>
          </w:p>
          <w:p>
            <w:pPr>
              <w:adjustRightInd w:val="0"/>
              <w:snapToGrid w:val="0"/>
              <w:spacing w:line="360" w:lineRule="auto"/>
              <w:ind w:firstLine="48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项目产生的一般工业固废执行《一般工业固体废物贮存和填埋污染控制标准》（GB18599-2020）要求。</w:t>
            </w:r>
          </w:p>
          <w:p>
            <w:pPr>
              <w:adjustRightInd w:val="0"/>
              <w:snapToGrid w:val="0"/>
              <w:spacing w:line="360" w:lineRule="auto"/>
              <w:ind w:firstLine="480" w:firstLineChars="200"/>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szCs w:val="21"/>
              </w:rPr>
              <w:t>项目产生的</w:t>
            </w:r>
            <w:r>
              <w:rPr>
                <w:rFonts w:hint="default" w:ascii="Times New Roman" w:hAnsi="Times New Roman" w:cs="Times New Roman"/>
                <w:color w:val="auto"/>
                <w:szCs w:val="21"/>
              </w:rPr>
              <w:t>废活性炭、</w:t>
            </w:r>
            <w:r>
              <w:rPr>
                <w:rFonts w:hint="default" w:ascii="Times New Roman" w:hAnsi="Times New Roman" w:cs="Times New Roman"/>
                <w:spacing w:val="-4"/>
                <w:sz w:val="24"/>
                <w:szCs w:val="24"/>
              </w:rPr>
              <w:t>废润滑油、废润滑油桶</w:t>
            </w:r>
            <w:r>
              <w:rPr>
                <w:rFonts w:hint="default" w:ascii="Times New Roman" w:hAnsi="Times New Roman" w:cs="Times New Roman"/>
                <w:spacing w:val="-4"/>
                <w:sz w:val="24"/>
                <w:szCs w:val="24"/>
                <w:lang w:val="en-US" w:eastAsia="zh-CN"/>
              </w:rPr>
              <w:t>等</w:t>
            </w:r>
            <w:r>
              <w:rPr>
                <w:rFonts w:hint="default" w:ascii="Times New Roman" w:hAnsi="Times New Roman" w:cs="Times New Roman" w:eastAsiaTheme="minorEastAsia"/>
                <w:color w:val="auto"/>
                <w:szCs w:val="21"/>
              </w:rPr>
              <w:t>属危险废物，危险废物贮存执行《危险废物贮存污染控制标准》（GB18597-2023）。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tcMar>
              <w:left w:w="28" w:type="dxa"/>
              <w:right w:w="28" w:type="dxa"/>
            </w:tcMar>
            <w:vAlign w:val="center"/>
          </w:tcPr>
          <w:p>
            <w:pPr>
              <w:pStyle w:val="45"/>
              <w:bidi w:val="0"/>
              <w:rPr>
                <w:rFonts w:hint="default" w:ascii="Times New Roman" w:hAnsi="Times New Roman" w:cs="Times New Roman"/>
              </w:rPr>
            </w:pPr>
            <w:r>
              <w:rPr>
                <w:rFonts w:hint="default" w:ascii="Times New Roman" w:hAnsi="Times New Roman" w:cs="Times New Roman"/>
              </w:rPr>
              <w:t>总量</w:t>
            </w:r>
          </w:p>
          <w:p>
            <w:pPr>
              <w:pStyle w:val="45"/>
              <w:bidi w:val="0"/>
              <w:rPr>
                <w:rFonts w:hint="default" w:ascii="Times New Roman" w:hAnsi="Times New Roman" w:cs="Times New Roman"/>
              </w:rPr>
            </w:pPr>
            <w:r>
              <w:rPr>
                <w:rFonts w:hint="default" w:ascii="Times New Roman" w:hAnsi="Times New Roman" w:cs="Times New Roman"/>
              </w:rPr>
              <w:t>控制</w:t>
            </w:r>
          </w:p>
          <w:p>
            <w:pPr>
              <w:pStyle w:val="45"/>
              <w:bidi w:val="0"/>
              <w:rPr>
                <w:rFonts w:hint="default" w:ascii="Times New Roman" w:hAnsi="Times New Roman" w:cs="Times New Roman"/>
              </w:rPr>
            </w:pPr>
            <w:r>
              <w:rPr>
                <w:rFonts w:hint="default" w:ascii="Times New Roman" w:hAnsi="Times New Roman" w:cs="Times New Roman"/>
              </w:rPr>
              <w:t>指标</w:t>
            </w:r>
          </w:p>
        </w:tc>
        <w:tc>
          <w:tcPr>
            <w:tcW w:w="8352" w:type="dxa"/>
            <w:vAlign w:val="center"/>
          </w:tcPr>
          <w:p>
            <w:pPr>
              <w:autoSpaceDE w:val="0"/>
              <w:autoSpaceDN w:val="0"/>
              <w:adjustRightInd w:val="0"/>
              <w:spacing w:line="360" w:lineRule="auto"/>
              <w:ind w:firstLine="480" w:firstLineChars="200"/>
              <w:jc w:val="left"/>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根据项目的具体情况，结合国家污染物排放总量控制原则，提出污染物总量控制指标如下：</w:t>
            </w:r>
          </w:p>
          <w:p>
            <w:pPr>
              <w:autoSpaceDE w:val="0"/>
              <w:autoSpaceDN w:val="0"/>
              <w:adjustRightInd w:val="0"/>
              <w:spacing w:line="360" w:lineRule="auto"/>
              <w:ind w:firstLine="480" w:firstLineChars="200"/>
              <w:jc w:val="left"/>
              <w:rPr>
                <w:rFonts w:hint="default" w:ascii="Times New Roman" w:hAnsi="Times New Roman" w:cs="Times New Roman" w:eastAsiaTheme="minorEastAsia"/>
                <w:bCs/>
                <w:color w:val="auto"/>
                <w:kern w:val="0"/>
                <w:szCs w:val="21"/>
              </w:rPr>
            </w:pPr>
            <w:r>
              <w:rPr>
                <w:rFonts w:hint="eastAsia" w:cs="Times New Roman" w:eastAsiaTheme="minorEastAsia"/>
                <w:bCs/>
                <w:color w:val="auto"/>
                <w:kern w:val="0"/>
                <w:szCs w:val="21"/>
                <w:lang w:val="en-US" w:eastAsia="zh-CN"/>
              </w:rPr>
              <w:t>根据工程分析</w:t>
            </w:r>
            <w:r>
              <w:rPr>
                <w:rFonts w:hint="default" w:ascii="Times New Roman" w:hAnsi="Times New Roman" w:cs="Times New Roman" w:eastAsiaTheme="minorEastAsia"/>
                <w:bCs/>
                <w:color w:val="auto"/>
                <w:kern w:val="0"/>
                <w:szCs w:val="21"/>
              </w:rPr>
              <w:t>，项目总量控制指标建议如下：</w:t>
            </w:r>
          </w:p>
          <w:p>
            <w:pPr>
              <w:bidi w:val="0"/>
              <w:rPr>
                <w:rFonts w:hint="default"/>
                <w:b/>
                <w:bCs/>
                <w:lang w:val="en-US" w:eastAsia="zh-CN"/>
              </w:rPr>
            </w:pPr>
            <w:r>
              <w:rPr>
                <w:rFonts w:hint="eastAsia"/>
                <w:b/>
                <w:bCs/>
                <w:lang w:val="en-US" w:eastAsia="zh-CN"/>
              </w:rPr>
              <w:t>一、项目废气总量</w:t>
            </w:r>
          </w:p>
          <w:p>
            <w:pPr>
              <w:bidi w:val="0"/>
              <w:rPr>
                <w:rFonts w:hint="eastAsia" w:eastAsia="宋体"/>
                <w:b/>
                <w:bCs/>
                <w:lang w:val="en-US" w:eastAsia="zh-CN"/>
              </w:rPr>
            </w:pPr>
            <w:r>
              <w:rPr>
                <w:rFonts w:hint="eastAsia"/>
                <w:b/>
                <w:bCs/>
                <w:lang w:val="en-US" w:eastAsia="zh-CN"/>
              </w:rPr>
              <w:t>1、原项目</w:t>
            </w:r>
          </w:p>
          <w:p>
            <w:pPr>
              <w:bidi w:val="0"/>
            </w:pPr>
            <w:r>
              <w:rPr>
                <w:rFonts w:hint="eastAsia"/>
                <w:lang w:val="en-US" w:eastAsia="zh-CN"/>
              </w:rPr>
              <w:t>（1）</w:t>
            </w:r>
            <w:r>
              <w:t>有组织排放量</w:t>
            </w:r>
          </w:p>
          <w:p>
            <w:pPr>
              <w:bidi w:val="0"/>
            </w:pPr>
            <w:r>
              <w:t>废气量约为720万m</w:t>
            </w:r>
            <w:r>
              <w:rPr>
                <w:vertAlign w:val="superscript"/>
              </w:rPr>
              <w:t>3</w:t>
            </w:r>
            <w:r>
              <w:t>/a。</w:t>
            </w:r>
          </w:p>
          <w:p>
            <w:pPr>
              <w:bidi w:val="0"/>
            </w:pPr>
            <w:r>
              <w:t>挥发性有机物（以非甲烷总烃计）：0.54t/a，甲苯：0.025t/a，二甲苯：0.025t/a。</w:t>
            </w:r>
          </w:p>
          <w:p>
            <w:pPr>
              <w:bidi w:val="0"/>
            </w:pPr>
            <w:r>
              <w:t>（2）无组织排放量</w:t>
            </w:r>
          </w:p>
          <w:p>
            <w:pPr>
              <w:bidi w:val="0"/>
            </w:pPr>
            <w:r>
              <w:t>挥发性有机物（以非甲烷总烃计）：0.292t/a，甲苯：0.014t/a，二甲苯：0.014t/a，颗粒物为：0.071t/a</w:t>
            </w:r>
          </w:p>
          <w:p>
            <w:pPr>
              <w:autoSpaceDE w:val="0"/>
              <w:autoSpaceDN w:val="0"/>
              <w:adjustRightInd w:val="0"/>
              <w:spacing w:line="360" w:lineRule="auto"/>
              <w:ind w:firstLine="482" w:firstLineChars="200"/>
              <w:jc w:val="left"/>
              <w:rPr>
                <w:rFonts w:hint="default" w:ascii="Times New Roman" w:hAnsi="Times New Roman" w:cs="Times New Roman" w:eastAsiaTheme="minorEastAsia"/>
                <w:b/>
                <w:bCs w:val="0"/>
                <w:color w:val="auto"/>
                <w:kern w:val="0"/>
                <w:szCs w:val="21"/>
                <w:lang w:val="en-US" w:eastAsia="zh-CN"/>
              </w:rPr>
            </w:pPr>
            <w:r>
              <w:rPr>
                <w:rFonts w:hint="eastAsia" w:cs="Times New Roman" w:eastAsiaTheme="minorEastAsia"/>
                <w:b/>
                <w:bCs w:val="0"/>
                <w:color w:val="auto"/>
                <w:kern w:val="0"/>
                <w:szCs w:val="21"/>
                <w:lang w:val="en-US" w:eastAsia="zh-CN"/>
              </w:rPr>
              <w:t>2、本项目</w:t>
            </w:r>
          </w:p>
          <w:p>
            <w:pPr>
              <w:bidi w:val="0"/>
            </w:pPr>
            <w:r>
              <w:rPr>
                <w:rFonts w:hint="eastAsia"/>
                <w:lang w:val="en-US" w:eastAsia="zh-CN"/>
              </w:rPr>
              <w:t>（1）</w:t>
            </w:r>
            <w:r>
              <w:t>有组织排放量</w:t>
            </w:r>
          </w:p>
          <w:p>
            <w:pPr>
              <w:bidi w:val="0"/>
            </w:pPr>
            <w:r>
              <w:t>废气量约为</w:t>
            </w:r>
            <w:r>
              <w:rPr>
                <w:rFonts w:hint="eastAsia"/>
                <w:lang w:val="en-US" w:eastAsia="zh-CN"/>
              </w:rPr>
              <w:t>6000</w:t>
            </w:r>
            <w:r>
              <w:t>万m</w:t>
            </w:r>
            <w:r>
              <w:rPr>
                <w:vertAlign w:val="superscript"/>
              </w:rPr>
              <w:t>3</w:t>
            </w:r>
            <w:r>
              <w:t>/a。</w:t>
            </w:r>
          </w:p>
          <w:p>
            <w:pPr>
              <w:bidi w:val="0"/>
            </w:pPr>
            <w:r>
              <w:t>挥发性有机物（以非甲烷总烃计）：</w:t>
            </w:r>
            <w:r>
              <w:rPr>
                <w:rFonts w:hint="eastAsia"/>
                <w:lang w:val="en-US" w:eastAsia="zh-CN"/>
              </w:rPr>
              <w:t>1.83</w:t>
            </w:r>
            <w:r>
              <w:t>t/a，甲苯：</w:t>
            </w:r>
            <w:r>
              <w:rPr>
                <w:rFonts w:hint="eastAsia"/>
                <w:lang w:val="en-US" w:eastAsia="zh-CN"/>
              </w:rPr>
              <w:t>0.09</w:t>
            </w:r>
            <w:r>
              <w:t>t/a，二甲苯：</w:t>
            </w:r>
            <w:r>
              <w:rPr>
                <w:rFonts w:hint="eastAsia"/>
                <w:lang w:val="en-US" w:eastAsia="zh-CN"/>
              </w:rPr>
              <w:t>0.09</w:t>
            </w:r>
            <w:r>
              <w:t>t/a。</w:t>
            </w:r>
          </w:p>
          <w:p>
            <w:pPr>
              <w:bidi w:val="0"/>
            </w:pPr>
            <w:r>
              <w:t>（2）无组织排放量</w:t>
            </w:r>
          </w:p>
          <w:p>
            <w:pPr>
              <w:bidi w:val="0"/>
              <w:rPr>
                <w:rFonts w:hint="eastAsia" w:eastAsia="宋体"/>
                <w:lang w:eastAsia="zh-CN"/>
              </w:rPr>
            </w:pPr>
            <w:r>
              <w:t>挥发性有机物（以非甲烷总烃计）：0.292t/a，甲苯：</w:t>
            </w:r>
            <w:r>
              <w:rPr>
                <w:rFonts w:hint="eastAsia"/>
                <w:lang w:val="en-US" w:eastAsia="zh-CN"/>
              </w:rPr>
              <w:t>0.124</w:t>
            </w:r>
            <w:r>
              <w:t>t/a，二甲苯：</w:t>
            </w:r>
            <w:r>
              <w:rPr>
                <w:rFonts w:hint="eastAsia"/>
                <w:lang w:val="en-US" w:eastAsia="zh-CN"/>
              </w:rPr>
              <w:t>0.124</w:t>
            </w:r>
            <w:r>
              <w:t>t/a</w:t>
            </w:r>
            <w:r>
              <w:rPr>
                <w:rFonts w:hint="eastAsia"/>
                <w:lang w:eastAsia="zh-CN"/>
              </w:rPr>
              <w:t>。</w:t>
            </w:r>
          </w:p>
          <w:p>
            <w:pPr>
              <w:autoSpaceDE w:val="0"/>
              <w:autoSpaceDN w:val="0"/>
              <w:adjustRightInd w:val="0"/>
              <w:spacing w:line="360" w:lineRule="auto"/>
              <w:ind w:firstLine="482" w:firstLineChars="200"/>
              <w:jc w:val="left"/>
              <w:rPr>
                <w:rFonts w:hint="default" w:ascii="Times New Roman" w:hAnsi="Times New Roman" w:cs="Times New Roman" w:eastAsiaTheme="minorEastAsia"/>
                <w:b/>
                <w:bCs w:val="0"/>
                <w:color w:val="auto"/>
                <w:kern w:val="0"/>
                <w:szCs w:val="21"/>
                <w:lang w:val="en-US" w:eastAsia="zh-CN"/>
              </w:rPr>
            </w:pPr>
            <w:r>
              <w:rPr>
                <w:rFonts w:hint="eastAsia" w:ascii="Times New Roman" w:hAnsi="Times New Roman" w:cs="Times New Roman" w:eastAsiaTheme="minorEastAsia"/>
                <w:b/>
                <w:bCs w:val="0"/>
                <w:color w:val="auto"/>
                <w:kern w:val="0"/>
                <w:szCs w:val="21"/>
                <w:lang w:val="en-US" w:eastAsia="zh-CN"/>
              </w:rPr>
              <w:t>3、污染物变化情况</w:t>
            </w:r>
          </w:p>
          <w:p>
            <w:pPr>
              <w:autoSpaceDE w:val="0"/>
              <w:autoSpaceDN w:val="0"/>
              <w:adjustRightInd w:val="0"/>
              <w:spacing w:line="360" w:lineRule="auto"/>
              <w:ind w:firstLine="480" w:firstLineChars="200"/>
              <w:jc w:val="left"/>
              <w:rPr>
                <w:rFonts w:hint="eastAsia" w:ascii="Times New Roman" w:hAnsi="Times New Roman" w:eastAsia="宋体" w:cs="Times New Roman"/>
                <w:bCs/>
                <w:color w:val="auto"/>
                <w:kern w:val="0"/>
                <w:szCs w:val="21"/>
                <w:lang w:val="en-US" w:eastAsia="zh-CN"/>
              </w:rPr>
            </w:pPr>
            <w:r>
              <w:rPr>
                <w:rFonts w:hint="eastAsia" w:cs="Times New Roman" w:eastAsiaTheme="minorEastAsia"/>
                <w:bCs/>
                <w:color w:val="auto"/>
                <w:kern w:val="0"/>
                <w:szCs w:val="21"/>
                <w:lang w:val="en-US" w:eastAsia="zh-CN"/>
              </w:rPr>
              <w:t>项目改扩建后，非甲烷总烃增加1.0468</w:t>
            </w:r>
            <w:r>
              <w:t>t/a</w:t>
            </w:r>
            <w:r>
              <w:rPr>
                <w:rFonts w:hint="eastAsia" w:cs="Times New Roman" w:eastAsiaTheme="minorEastAsia"/>
                <w:bCs/>
                <w:color w:val="auto"/>
                <w:kern w:val="0"/>
                <w:szCs w:val="21"/>
                <w:lang w:val="en-US" w:eastAsia="zh-CN"/>
              </w:rPr>
              <w:t>，甲苯增加0.085</w:t>
            </w:r>
            <w:r>
              <w:t>t/a</w:t>
            </w:r>
            <w:r>
              <w:rPr>
                <w:rFonts w:hint="eastAsia" w:cs="Times New Roman" w:eastAsiaTheme="minorEastAsia"/>
                <w:bCs/>
                <w:color w:val="auto"/>
                <w:kern w:val="0"/>
                <w:szCs w:val="21"/>
                <w:lang w:val="en-US" w:eastAsia="zh-CN"/>
              </w:rPr>
              <w:t>，二甲苯增加0.085</w:t>
            </w:r>
            <w:r>
              <w:t>t/a</w:t>
            </w:r>
            <w:r>
              <w:rPr>
                <w:rFonts w:hint="eastAsia" w:cs="Times New Roman" w:eastAsiaTheme="minorEastAsia"/>
                <w:bCs/>
                <w:color w:val="auto"/>
                <w:kern w:val="0"/>
                <w:szCs w:val="21"/>
                <w:lang w:val="en-US" w:eastAsia="zh-CN"/>
              </w:rPr>
              <w:t>，颗粒物减少0.071</w:t>
            </w:r>
            <w:r>
              <w:t>t/a</w:t>
            </w:r>
            <w:r>
              <w:rPr>
                <w:rFonts w:hint="eastAsia"/>
                <w:lang w:eastAsia="zh-CN"/>
              </w:rPr>
              <w:t>。</w:t>
            </w:r>
          </w:p>
          <w:p>
            <w:pPr>
              <w:autoSpaceDE w:val="0"/>
              <w:autoSpaceDN w:val="0"/>
              <w:adjustRightInd w:val="0"/>
              <w:spacing w:line="360" w:lineRule="auto"/>
              <w:ind w:firstLine="480" w:firstLineChars="200"/>
              <w:jc w:val="left"/>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bCs/>
                <w:color w:val="auto"/>
                <w:kern w:val="0"/>
                <w:szCs w:val="21"/>
              </w:rPr>
              <w:t>2、废水</w:t>
            </w:r>
          </w:p>
          <w:p>
            <w:pPr>
              <w:autoSpaceDE w:val="0"/>
              <w:autoSpaceDN w:val="0"/>
              <w:adjustRightInd w:val="0"/>
              <w:spacing w:line="360" w:lineRule="auto"/>
              <w:ind w:firstLine="480" w:firstLineChars="200"/>
              <w:jc w:val="left"/>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bCs/>
                <w:color w:val="auto"/>
                <w:kern w:val="0"/>
                <w:szCs w:val="21"/>
              </w:rPr>
              <w:t>①近期排水体制</w:t>
            </w:r>
          </w:p>
          <w:p>
            <w:pPr>
              <w:autoSpaceDE w:val="0"/>
              <w:autoSpaceDN w:val="0"/>
              <w:adjustRightInd w:val="0"/>
              <w:spacing w:line="360" w:lineRule="auto"/>
              <w:ind w:firstLine="480" w:firstLineChars="200"/>
              <w:jc w:val="left"/>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bCs/>
                <w:color w:val="auto"/>
                <w:kern w:val="0"/>
                <w:szCs w:val="21"/>
              </w:rPr>
              <w:t>食堂废水经</w:t>
            </w:r>
            <w:r>
              <w:rPr>
                <w:rFonts w:hint="eastAsia" w:cs="Times New Roman" w:eastAsiaTheme="minorEastAsia"/>
                <w:bCs/>
                <w:color w:val="auto"/>
                <w:kern w:val="0"/>
                <w:szCs w:val="21"/>
                <w:lang w:eastAsia="zh-CN"/>
              </w:rPr>
              <w:t>油水分离器</w:t>
            </w:r>
            <w:r>
              <w:rPr>
                <w:rFonts w:hint="default" w:ascii="Times New Roman" w:hAnsi="Times New Roman" w:cs="Times New Roman" w:eastAsiaTheme="minorEastAsia"/>
                <w:bCs/>
                <w:color w:val="auto"/>
                <w:kern w:val="0"/>
                <w:szCs w:val="21"/>
              </w:rPr>
              <w:t>处理后与其他生活污水一起排入依托云南鑫成鹏高分子 有限公司 3 号厂房的化粪池处理后，最终进入云南鑫成鹏高分子有限公司自建的 一体化污水处理设施处理达标后晴天回用于云南鑫成鹏高分子有限公司的绿化及道路洒水降尘，不外排，雨天暂存于回用水池。</w:t>
            </w:r>
          </w:p>
          <w:p>
            <w:pPr>
              <w:autoSpaceDE w:val="0"/>
              <w:autoSpaceDN w:val="0"/>
              <w:adjustRightInd w:val="0"/>
              <w:spacing w:line="360" w:lineRule="auto"/>
              <w:ind w:firstLine="480" w:firstLineChars="200"/>
              <w:jc w:val="left"/>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bCs/>
                <w:color w:val="auto"/>
                <w:kern w:val="0"/>
                <w:szCs w:val="21"/>
              </w:rPr>
              <w:t>②远期排水体制</w:t>
            </w:r>
          </w:p>
          <w:p>
            <w:pPr>
              <w:autoSpaceDE w:val="0"/>
              <w:autoSpaceDN w:val="0"/>
              <w:adjustRightInd w:val="0"/>
              <w:spacing w:line="360" w:lineRule="auto"/>
              <w:ind w:firstLine="480" w:firstLineChars="200"/>
              <w:jc w:val="left"/>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bCs/>
                <w:color w:val="auto"/>
                <w:kern w:val="0"/>
                <w:szCs w:val="21"/>
              </w:rPr>
              <w:t>食堂含油废水经隔油处理后与经化粪池处理后的生活污水一起排入园区污水管网，最后进入园区污水处理厂。</w:t>
            </w:r>
          </w:p>
          <w:p>
            <w:pPr>
              <w:autoSpaceDE w:val="0"/>
              <w:autoSpaceDN w:val="0"/>
              <w:adjustRightInd w:val="0"/>
              <w:spacing w:line="360" w:lineRule="auto"/>
              <w:ind w:firstLine="480" w:firstLineChars="200"/>
              <w:jc w:val="left"/>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bCs/>
                <w:color w:val="auto"/>
                <w:kern w:val="0"/>
                <w:szCs w:val="21"/>
              </w:rPr>
              <w:t>3、固体废物</w:t>
            </w:r>
          </w:p>
          <w:p>
            <w:pPr>
              <w:autoSpaceDE w:val="0"/>
              <w:autoSpaceDN w:val="0"/>
              <w:adjustRightInd w:val="0"/>
              <w:spacing w:line="360" w:lineRule="auto"/>
              <w:ind w:firstLine="480" w:firstLineChars="200"/>
              <w:jc w:val="left"/>
              <w:rPr>
                <w:rFonts w:hint="default" w:ascii="Times New Roman" w:hAnsi="Times New Roman" w:cs="Times New Roman" w:eastAsiaTheme="minorEastAsia"/>
                <w:b/>
                <w:color w:val="auto"/>
                <w:kern w:val="0"/>
                <w:szCs w:val="21"/>
              </w:rPr>
            </w:pPr>
            <w:r>
              <w:rPr>
                <w:rFonts w:hint="default" w:ascii="Times New Roman" w:hAnsi="Times New Roman" w:cs="Times New Roman" w:eastAsiaTheme="minorEastAsia"/>
                <w:bCs/>
                <w:color w:val="auto"/>
                <w:kern w:val="0"/>
                <w:szCs w:val="21"/>
              </w:rPr>
              <w:t>本项目固体废物处置率100%，不设总量控制指标。</w:t>
            </w:r>
          </w:p>
          <w:p>
            <w:pPr>
              <w:adjustRightInd w:val="0"/>
              <w:snapToGrid w:val="0"/>
              <w:spacing w:line="360" w:lineRule="auto"/>
              <w:ind w:firstLine="480" w:firstLineChars="200"/>
              <w:rPr>
                <w:rFonts w:hint="default" w:ascii="Times New Roman" w:hAnsi="Times New Roman" w:cs="Times New Roman"/>
                <w:color w:val="auto"/>
                <w:kern w:val="0"/>
                <w:szCs w:val="21"/>
              </w:rPr>
            </w:pPr>
          </w:p>
          <w:p>
            <w:pPr>
              <w:adjustRightInd w:val="0"/>
              <w:snapToGrid w:val="0"/>
              <w:spacing w:line="360" w:lineRule="auto"/>
              <w:ind w:firstLine="480" w:firstLineChars="200"/>
              <w:rPr>
                <w:rFonts w:hint="default" w:ascii="Times New Roman" w:hAnsi="Times New Roman" w:cs="Times New Roman"/>
                <w:color w:val="auto"/>
                <w:kern w:val="0"/>
                <w:szCs w:val="21"/>
              </w:rPr>
            </w:pPr>
          </w:p>
          <w:p>
            <w:pPr>
              <w:adjustRightInd w:val="0"/>
              <w:snapToGrid w:val="0"/>
              <w:spacing w:line="360" w:lineRule="auto"/>
              <w:ind w:firstLine="480" w:firstLineChars="200"/>
              <w:rPr>
                <w:rFonts w:hint="default" w:ascii="Times New Roman" w:hAnsi="Times New Roman" w:cs="Times New Roman"/>
                <w:color w:val="auto"/>
                <w:kern w:val="0"/>
                <w:szCs w:val="21"/>
              </w:rPr>
            </w:pPr>
          </w:p>
          <w:p>
            <w:pPr>
              <w:adjustRightInd w:val="0"/>
              <w:snapToGrid w:val="0"/>
              <w:spacing w:line="360" w:lineRule="auto"/>
              <w:ind w:firstLine="480" w:firstLineChars="200"/>
              <w:rPr>
                <w:rFonts w:hint="default" w:ascii="Times New Roman" w:hAnsi="Times New Roman" w:cs="Times New Roman"/>
                <w:color w:val="auto"/>
                <w:kern w:val="0"/>
                <w:szCs w:val="21"/>
              </w:rPr>
            </w:pPr>
          </w:p>
          <w:p>
            <w:pPr>
              <w:adjustRightInd w:val="0"/>
              <w:snapToGrid w:val="0"/>
              <w:spacing w:line="360" w:lineRule="auto"/>
              <w:rPr>
                <w:rFonts w:hint="default" w:ascii="Times New Roman" w:hAnsi="Times New Roman" w:cs="Times New Roman"/>
                <w:color w:val="auto"/>
                <w:kern w:val="0"/>
                <w:szCs w:val="21"/>
              </w:rPr>
            </w:pPr>
          </w:p>
          <w:p>
            <w:pPr>
              <w:adjustRightInd w:val="0"/>
              <w:snapToGrid w:val="0"/>
              <w:spacing w:line="360" w:lineRule="auto"/>
              <w:rPr>
                <w:rFonts w:hint="default" w:ascii="Times New Roman" w:hAnsi="Times New Roman" w:cs="Times New Roman"/>
                <w:color w:val="auto"/>
                <w:szCs w:val="21"/>
              </w:rPr>
            </w:pPr>
          </w:p>
        </w:tc>
      </w:tr>
    </w:tbl>
    <w:p>
      <w:pPr>
        <w:pStyle w:val="24"/>
        <w:keepNext w:val="0"/>
        <w:keepLines w:val="0"/>
        <w:pageBreakBefore w:val="0"/>
        <w:widowControl/>
        <w:numPr>
          <w:ilvl w:val="0"/>
          <w:numId w:val="8"/>
        </w:numPr>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default" w:ascii="Times New Roman" w:hAnsi="Times New Roman" w:eastAsia="黑体" w:cs="Times New Roman"/>
          <w:snapToGrid w:val="0"/>
          <w:color w:val="auto"/>
          <w:sz w:val="30"/>
          <w:szCs w:val="30"/>
        </w:rPr>
      </w:pPr>
      <w:bookmarkStart w:id="14" w:name="_Toc6474"/>
      <w:r>
        <w:rPr>
          <w:rFonts w:hint="default" w:ascii="Times New Roman" w:hAnsi="Times New Roman" w:eastAsia="黑体" w:cs="Times New Roman"/>
          <w:snapToGrid w:val="0"/>
          <w:color w:val="auto"/>
          <w:sz w:val="21"/>
          <w:szCs w:val="21"/>
        </w:rPr>
        <w:br w:type="page"/>
      </w:r>
      <w:bookmarkStart w:id="15" w:name="_Toc8801"/>
      <w:bookmarkStart w:id="16" w:name="_Toc12262"/>
      <w:r>
        <w:rPr>
          <w:rFonts w:hint="default" w:ascii="Times New Roman" w:hAnsi="Times New Roman" w:eastAsia="黑体" w:cs="Times New Roman"/>
          <w:snapToGrid w:val="0"/>
          <w:color w:val="auto"/>
          <w:sz w:val="30"/>
          <w:szCs w:val="30"/>
        </w:rPr>
        <w:t>主要环境影响和保护措施</w:t>
      </w:r>
      <w:bookmarkEnd w:id="15"/>
      <w:bookmarkEnd w:id="16"/>
    </w:p>
    <w:tbl>
      <w:tblPr>
        <w:tblStyle w:val="28"/>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3" w:hRule="atLeast"/>
        </w:trPr>
        <w:tc>
          <w:tcPr>
            <w:tcW w:w="452" w:type="dxa"/>
            <w:noWrap w:val="0"/>
            <w:vAlign w:val="center"/>
          </w:tcPr>
          <w:p>
            <w:pPr>
              <w:ind w:firstLine="0" w:firstLineChars="0"/>
              <w:rPr>
                <w:rFonts w:hint="default" w:ascii="Times New Roman" w:hAnsi="Times New Roman" w:cs="Times New Roman"/>
                <w:color w:val="000000"/>
              </w:rPr>
            </w:pPr>
            <w:r>
              <w:rPr>
                <w:rFonts w:hint="default" w:ascii="Times New Roman" w:hAnsi="Times New Roman" w:cs="Times New Roman"/>
                <w:color w:val="000000"/>
              </w:rPr>
              <w:t>施工期环境保护措施</w:t>
            </w:r>
          </w:p>
        </w:tc>
        <w:tc>
          <w:tcPr>
            <w:tcW w:w="8609" w:type="dxa"/>
            <w:noWrap w:val="0"/>
            <w:vAlign w:val="center"/>
          </w:tcPr>
          <w:p>
            <w:pPr>
              <w:ind w:firstLine="480"/>
              <w:rPr>
                <w:rFonts w:hint="default" w:ascii="Times New Roman" w:hAnsi="Times New Roman" w:cs="Times New Roman"/>
              </w:rPr>
            </w:pPr>
            <w:r>
              <w:rPr>
                <w:rFonts w:hint="default" w:ascii="Times New Roman" w:hAnsi="Times New Roman" w:cs="Times New Roman"/>
              </w:rPr>
              <w:t>本项目租用已建成的生产厂房进行</w:t>
            </w:r>
            <w:r>
              <w:rPr>
                <w:rFonts w:hint="default" w:ascii="Times New Roman" w:hAnsi="Times New Roman" w:cs="Times New Roman"/>
                <w:lang w:val="en-US" w:eastAsia="zh-CN"/>
              </w:rPr>
              <w:t>改造</w:t>
            </w:r>
            <w:r>
              <w:rPr>
                <w:rFonts w:hint="default" w:ascii="Times New Roman" w:hAnsi="Times New Roman" w:cs="Times New Roman"/>
              </w:rPr>
              <w:t>，根据项目实际情况以及现场踏勘，</w:t>
            </w:r>
            <w:r>
              <w:rPr>
                <w:rFonts w:hint="default" w:ascii="Times New Roman" w:hAnsi="Times New Roman" w:cs="Times New Roman"/>
                <w:lang w:val="en-US" w:eastAsia="zh-CN"/>
              </w:rPr>
              <w:t>目前除保留原项目两条中空玻璃生产线外，其他均已清理完毕</w:t>
            </w:r>
            <w:r>
              <w:rPr>
                <w:rFonts w:hint="default" w:ascii="Times New Roman" w:hAnsi="Times New Roman" w:cs="Times New Roman"/>
              </w:rPr>
              <w:t>，建设单位计划于202</w:t>
            </w:r>
            <w:r>
              <w:rPr>
                <w:rFonts w:hint="default" w:ascii="Times New Roman" w:hAnsi="Times New Roman" w:cs="Times New Roman"/>
                <w:lang w:val="en-US" w:eastAsia="zh-CN"/>
              </w:rPr>
              <w:t>4</w:t>
            </w:r>
            <w:r>
              <w:rPr>
                <w:rFonts w:hint="default" w:ascii="Times New Roman" w:hAnsi="Times New Roman" w:cs="Times New Roman"/>
              </w:rPr>
              <w:t>年</w:t>
            </w:r>
            <w:r>
              <w:rPr>
                <w:rFonts w:hint="default" w:ascii="Times New Roman" w:hAnsi="Times New Roman" w:cs="Times New Roman"/>
                <w:lang w:val="en-US" w:eastAsia="zh-CN"/>
              </w:rPr>
              <w:t>5</w:t>
            </w:r>
            <w:r>
              <w:rPr>
                <w:rFonts w:hint="default" w:ascii="Times New Roman" w:hAnsi="Times New Roman" w:cs="Times New Roman"/>
              </w:rPr>
              <w:t>月1日将设备运进厂房内进行设备安装，于202</w:t>
            </w:r>
            <w:r>
              <w:rPr>
                <w:rFonts w:hint="default" w:ascii="Times New Roman" w:hAnsi="Times New Roman" w:cs="Times New Roman"/>
                <w:lang w:val="en-US" w:eastAsia="zh-CN"/>
              </w:rPr>
              <w:t>4</w:t>
            </w:r>
            <w:r>
              <w:rPr>
                <w:rFonts w:hint="default" w:ascii="Times New Roman" w:hAnsi="Times New Roman" w:cs="Times New Roman"/>
              </w:rPr>
              <w:t>年</w:t>
            </w:r>
            <w:r>
              <w:rPr>
                <w:rFonts w:hint="default" w:ascii="Times New Roman" w:hAnsi="Times New Roman" w:cs="Times New Roman"/>
                <w:lang w:val="en-US" w:eastAsia="zh-CN"/>
              </w:rPr>
              <w:t>10</w:t>
            </w:r>
            <w:r>
              <w:rPr>
                <w:rFonts w:hint="default" w:ascii="Times New Roman" w:hAnsi="Times New Roman" w:cs="Times New Roman"/>
              </w:rPr>
              <w:t>月建设完成。因此，施工期主要污染是施工期噪声、扬尘、施工废水、建筑垃圾等，其对环境的不利影响是短暂的，将随着施工期的结束而消失。</w:t>
            </w:r>
          </w:p>
          <w:p>
            <w:pPr>
              <w:ind w:firstLine="482" w:firstLineChars="0"/>
              <w:rPr>
                <w:rFonts w:hint="default" w:ascii="Times New Roman" w:hAnsi="Times New Roman" w:cs="Times New Roman"/>
                <w:b/>
                <w:bCs/>
                <w:color w:val="000000"/>
              </w:rPr>
            </w:pPr>
            <w:r>
              <w:rPr>
                <w:rFonts w:hint="default" w:ascii="Times New Roman" w:hAnsi="Times New Roman" w:cs="Times New Roman"/>
                <w:b/>
                <w:bCs/>
                <w:color w:val="000000"/>
              </w:rPr>
              <w:t>（一）施工期大气污染防治措施</w:t>
            </w:r>
          </w:p>
          <w:p>
            <w:pPr>
              <w:bidi w:val="0"/>
              <w:rPr>
                <w:rFonts w:hint="default" w:ascii="Times New Roman" w:hAnsi="Times New Roman" w:cs="Times New Roman"/>
              </w:rPr>
            </w:pPr>
            <w:r>
              <w:rPr>
                <w:rFonts w:hint="default" w:ascii="Times New Roman" w:hAnsi="Times New Roman" w:cs="Times New Roman"/>
              </w:rPr>
              <w:t>为减少设备安装过程中的粉尘，本次环评要求：</w:t>
            </w:r>
          </w:p>
          <w:p>
            <w:pPr>
              <w:bidi w:val="0"/>
              <w:rPr>
                <w:rFonts w:hint="default" w:ascii="Times New Roman" w:hAnsi="Times New Roman" w:cs="Times New Roman"/>
              </w:rPr>
            </w:pPr>
            <w:r>
              <w:rPr>
                <w:rFonts w:hint="default" w:ascii="Times New Roman" w:hAnsi="Times New Roman" w:cs="Times New Roman"/>
              </w:rPr>
              <w:t>①建设时产生的粉尘，必要时应进行洒水降尘。</w:t>
            </w:r>
          </w:p>
          <w:p>
            <w:pPr>
              <w:bidi w:val="0"/>
              <w:rPr>
                <w:rFonts w:hint="default" w:ascii="Times New Roman" w:hAnsi="Times New Roman" w:cs="Times New Roman"/>
              </w:rPr>
            </w:pPr>
            <w:r>
              <w:rPr>
                <w:rFonts w:hint="default" w:ascii="Times New Roman" w:hAnsi="Times New Roman" w:cs="Times New Roman"/>
              </w:rPr>
              <w:t>②运输车辆应限速慢行，并适量装车，以防运输过程中撒落引起二次扬尘。</w:t>
            </w:r>
          </w:p>
          <w:p>
            <w:pPr>
              <w:bidi w:val="0"/>
              <w:rPr>
                <w:rFonts w:hint="default" w:ascii="Times New Roman" w:hAnsi="Times New Roman" w:cs="Times New Roman"/>
              </w:rPr>
            </w:pPr>
            <w:r>
              <w:rPr>
                <w:rFonts w:hint="default" w:ascii="Times New Roman" w:hAnsi="Times New Roman" w:cs="Times New Roman"/>
              </w:rPr>
              <w:t>③使用尾气达标排放的施工机械和运输车辆，不得使用劣质燃料。</w:t>
            </w:r>
          </w:p>
          <w:p>
            <w:pPr>
              <w:ind w:firstLine="482"/>
              <w:rPr>
                <w:rFonts w:hint="default" w:ascii="Times New Roman" w:hAnsi="Times New Roman" w:cs="Times New Roman"/>
                <w:b/>
                <w:bCs/>
                <w:color w:val="000000"/>
              </w:rPr>
            </w:pPr>
            <w:r>
              <w:rPr>
                <w:rFonts w:hint="default" w:ascii="Times New Roman" w:hAnsi="Times New Roman" w:cs="Times New Roman"/>
                <w:b/>
                <w:bCs/>
                <w:color w:val="000000"/>
              </w:rPr>
              <w:t>（二）</w:t>
            </w:r>
            <w:bookmarkStart w:id="17" w:name="_Toc18778"/>
            <w:r>
              <w:rPr>
                <w:rFonts w:hint="default" w:ascii="Times New Roman" w:hAnsi="Times New Roman" w:cs="Times New Roman"/>
                <w:b/>
                <w:bCs/>
                <w:color w:val="000000"/>
              </w:rPr>
              <w:t>施工期废水污染防治措施</w:t>
            </w:r>
          </w:p>
          <w:p>
            <w:pPr>
              <w:keepNext w:val="0"/>
              <w:keepLines w:val="0"/>
              <w:pageBreakBefore w:val="0"/>
              <w:kinsoku/>
              <w:wordWrap/>
              <w:overflowPunct/>
              <w:topLinePunct w:val="0"/>
              <w:bidi w:val="0"/>
              <w:rPr>
                <w:rFonts w:hint="default" w:ascii="Times New Roman" w:hAnsi="Times New Roman" w:eastAsia="宋体" w:cs="Times New Roman"/>
                <w:color w:val="auto"/>
                <w:highlight w:val="none"/>
              </w:rPr>
            </w:pPr>
            <w:r>
              <w:rPr>
                <w:rFonts w:hint="default" w:ascii="Times New Roman" w:hAnsi="Times New Roman" w:cs="Times New Roman"/>
                <w:color w:val="000000"/>
              </w:rPr>
              <w:t>施工废水主要为施工过程中的员工生活污水，施工</w:t>
            </w:r>
            <w:bookmarkEnd w:id="17"/>
            <w:r>
              <w:rPr>
                <w:rFonts w:hint="default" w:ascii="Times New Roman" w:hAnsi="Times New Roman" w:eastAsia="宋体" w:cs="Times New Roman"/>
                <w:sz w:val="24"/>
                <w:szCs w:val="24"/>
                <w:lang w:val="en-US" w:eastAsia="zh-CN"/>
              </w:rPr>
              <w:t>生活废水</w:t>
            </w:r>
            <w:r>
              <w:rPr>
                <w:rFonts w:hint="default" w:ascii="Times New Roman" w:hAnsi="Times New Roman" w:eastAsia="宋体" w:cs="Times New Roman"/>
                <w:sz w:val="24"/>
                <w:szCs w:val="24"/>
                <w:lang w:eastAsia="zh-CN"/>
              </w:rPr>
              <w:t>依托</w:t>
            </w:r>
            <w:r>
              <w:rPr>
                <w:rFonts w:hint="default" w:ascii="Times New Roman" w:hAnsi="Times New Roman" w:cs="Times New Roman"/>
                <w:sz w:val="24"/>
                <w:szCs w:val="24"/>
                <w:lang w:val="en-US" w:eastAsia="zh-CN"/>
              </w:rPr>
              <w:t>云南鑫成鹏高分子科技有限公司</w:t>
            </w:r>
            <w:r>
              <w:rPr>
                <w:rFonts w:hint="default" w:ascii="Times New Roman" w:hAnsi="Times New Roman" w:eastAsia="宋体" w:cs="Times New Roman"/>
                <w:sz w:val="24"/>
                <w:szCs w:val="24"/>
                <w:lang w:eastAsia="zh-CN"/>
              </w:rPr>
              <w:t>化粪池</w:t>
            </w:r>
            <w:r>
              <w:rPr>
                <w:rFonts w:hint="default" w:ascii="Times New Roman" w:hAnsi="Times New Roman" w:eastAsia="宋体" w:cs="Times New Roman"/>
                <w:sz w:val="24"/>
                <w:szCs w:val="24"/>
                <w:lang w:val="en-US" w:eastAsia="zh-CN"/>
              </w:rPr>
              <w:t>处理后，</w:t>
            </w:r>
            <w:r>
              <w:rPr>
                <w:rFonts w:hint="default" w:ascii="Times New Roman" w:hAnsi="Times New Roman" w:eastAsia="宋体" w:cs="Times New Roman"/>
                <w:sz w:val="24"/>
                <w:szCs w:val="24"/>
                <w:lang w:eastAsia="zh-CN"/>
              </w:rPr>
              <w:t>最终进入依托</w:t>
            </w:r>
            <w:r>
              <w:rPr>
                <w:rFonts w:hint="default" w:ascii="Times New Roman" w:hAnsi="Times New Roman" w:cs="Times New Roman"/>
                <w:sz w:val="24"/>
                <w:szCs w:val="24"/>
                <w:lang w:eastAsia="zh-CN"/>
              </w:rPr>
              <w:t>云南鑫成鹏高分子科技有限公司</w:t>
            </w:r>
            <w:r>
              <w:rPr>
                <w:rFonts w:hint="default" w:ascii="Times New Roman" w:hAnsi="Times New Roman" w:eastAsia="宋体" w:cs="Times New Roman"/>
                <w:sz w:val="24"/>
                <w:szCs w:val="24"/>
                <w:lang w:eastAsia="zh-CN"/>
              </w:rPr>
              <w:t>的一体化污水处理设施</w:t>
            </w:r>
            <w:r>
              <w:rPr>
                <w:rFonts w:hint="default" w:ascii="Times New Roman" w:hAnsi="Times New Roman" w:eastAsia="宋体" w:cs="Times New Roman"/>
                <w:sz w:val="24"/>
                <w:szCs w:val="24"/>
                <w:lang w:val="en-US" w:eastAsia="zh-CN"/>
              </w:rPr>
              <w:t>处理达到</w:t>
            </w:r>
            <w:r>
              <w:rPr>
                <w:rFonts w:hint="default" w:ascii="Times New Roman" w:hAnsi="Times New Roman" w:eastAsia="宋体" w:cs="Times New Roman"/>
                <w:color w:val="000000"/>
                <w:sz w:val="24"/>
                <w:szCs w:val="24"/>
                <w:lang w:val="en-US" w:eastAsia="zh-CN"/>
              </w:rPr>
              <w:t>《城市污水再生利用城市杂用水水质》（GB/T18920-2020）</w:t>
            </w:r>
            <w:r>
              <w:rPr>
                <w:rFonts w:hint="default" w:ascii="Times New Roman" w:hAnsi="Times New Roman" w:eastAsia="宋体" w:cs="Times New Roman"/>
                <w:bCs/>
                <w:color w:val="000000"/>
                <w:sz w:val="24"/>
                <w:szCs w:val="24"/>
              </w:rPr>
              <w:t>标准</w:t>
            </w:r>
            <w:r>
              <w:rPr>
                <w:rFonts w:hint="default" w:ascii="Times New Roman" w:hAnsi="Times New Roman" w:eastAsia="宋体" w:cs="Times New Roman"/>
                <w:sz w:val="24"/>
                <w:szCs w:val="24"/>
                <w:lang w:val="en-US" w:eastAsia="zh-CN"/>
              </w:rPr>
              <w:t>回用于绿化和道路浇洒</w:t>
            </w:r>
            <w:r>
              <w:rPr>
                <w:rFonts w:hint="default" w:ascii="Times New Roman" w:hAnsi="Times New Roman" w:eastAsia="宋体" w:cs="Times New Roman"/>
                <w:color w:val="auto"/>
                <w:highlight w:val="none"/>
              </w:rPr>
              <w:t>。</w:t>
            </w:r>
          </w:p>
          <w:p>
            <w:pPr>
              <w:numPr>
                <w:ilvl w:val="0"/>
                <w:numId w:val="9"/>
              </w:numPr>
              <w:ind w:firstLine="482"/>
              <w:rPr>
                <w:rFonts w:hint="default" w:ascii="Times New Roman" w:hAnsi="Times New Roman" w:cs="Times New Roman"/>
                <w:b/>
                <w:bCs/>
                <w:color w:val="000000"/>
              </w:rPr>
            </w:pPr>
            <w:r>
              <w:rPr>
                <w:rFonts w:hint="default" w:ascii="Times New Roman" w:hAnsi="Times New Roman" w:cs="Times New Roman"/>
                <w:b/>
                <w:bCs/>
                <w:color w:val="000000"/>
              </w:rPr>
              <w:t>施工期噪声污染防治措施</w:t>
            </w:r>
          </w:p>
          <w:p>
            <w:pPr>
              <w:ind w:firstLine="480"/>
              <w:rPr>
                <w:rFonts w:hint="default" w:ascii="Times New Roman" w:hAnsi="Times New Roman" w:cs="Times New Roman"/>
              </w:rPr>
            </w:pPr>
            <w:r>
              <w:rPr>
                <w:rFonts w:hint="default" w:ascii="Times New Roman" w:hAnsi="Times New Roman" w:cs="Times New Roman"/>
              </w:rPr>
              <w:t>为减少施工期的噪声影响，本次环评要求：</w:t>
            </w:r>
          </w:p>
          <w:p>
            <w:pPr>
              <w:ind w:firstLine="480"/>
              <w:rPr>
                <w:rFonts w:hint="default" w:ascii="Times New Roman" w:hAnsi="Times New Roman" w:cs="Times New Roman"/>
              </w:rPr>
            </w:pPr>
            <w:r>
              <w:rPr>
                <w:rFonts w:hint="default" w:ascii="Times New Roman" w:hAnsi="Times New Roman" w:cs="Times New Roman"/>
              </w:rPr>
              <w:t>①合理安排施工时间，禁止在夜间22:00~6:00施工，减少施工噪声对环境的影响。</w:t>
            </w:r>
          </w:p>
          <w:p>
            <w:pPr>
              <w:ind w:firstLine="480"/>
              <w:rPr>
                <w:rFonts w:hint="default" w:ascii="Times New Roman" w:hAnsi="Times New Roman" w:cs="Times New Roman"/>
              </w:rPr>
            </w:pPr>
            <w:r>
              <w:rPr>
                <w:rFonts w:hint="default" w:ascii="Times New Roman" w:hAnsi="Times New Roman" w:cs="Times New Roman"/>
              </w:rPr>
              <w:t>②优先采用先进工艺的低噪声设备；设备用完后或不用时应立即关闭。</w:t>
            </w:r>
          </w:p>
          <w:p>
            <w:pPr>
              <w:ind w:firstLine="482"/>
              <w:rPr>
                <w:rFonts w:hint="default" w:ascii="Times New Roman" w:hAnsi="Times New Roman" w:cs="Times New Roman"/>
                <w:b/>
                <w:bCs/>
                <w:color w:val="000000"/>
              </w:rPr>
            </w:pPr>
            <w:r>
              <w:rPr>
                <w:rFonts w:hint="default" w:ascii="Times New Roman" w:hAnsi="Times New Roman" w:cs="Times New Roman"/>
                <w:b/>
                <w:bCs/>
                <w:color w:val="000000"/>
              </w:rPr>
              <w:t>（四）施工期固体废弃物防治措施</w:t>
            </w:r>
          </w:p>
          <w:p>
            <w:pPr>
              <w:ind w:firstLine="480"/>
              <w:rPr>
                <w:rFonts w:hint="default" w:ascii="Times New Roman" w:hAnsi="Times New Roman" w:cs="Times New Roman"/>
                <w:color w:val="000000"/>
              </w:rPr>
            </w:pPr>
            <w:r>
              <w:rPr>
                <w:rFonts w:hint="default" w:ascii="Times New Roman" w:hAnsi="Times New Roman" w:cs="Times New Roman"/>
                <w:color w:val="000000"/>
              </w:rPr>
              <w:t>①施工期建筑垃圾主要是施工废弃材料。项目厂房装修、建设危废暂存间、厂房装修工程量较小。建筑垃圾集中收集后尽量回收利用，不能回收利用的建筑垃圾运至指定地点处置。</w:t>
            </w:r>
          </w:p>
          <w:p>
            <w:pPr>
              <w:ind w:firstLine="480"/>
              <w:rPr>
                <w:rFonts w:hint="default" w:ascii="Times New Roman" w:hAnsi="Times New Roman" w:cs="Times New Roman"/>
                <w:color w:val="000000"/>
              </w:rPr>
            </w:pPr>
            <w:bookmarkStart w:id="18" w:name="_Toc4002"/>
            <w:bookmarkStart w:id="19" w:name="_Toc13733"/>
            <w:bookmarkStart w:id="20" w:name="_Toc29830"/>
            <w:r>
              <w:rPr>
                <w:rFonts w:hint="default" w:ascii="Times New Roman" w:hAnsi="Times New Roman" w:cs="Times New Roman"/>
                <w:color w:val="000000"/>
              </w:rPr>
              <w:t>②设备废包装材料，设备安装产生的废包装</w:t>
            </w:r>
            <w:r>
              <w:rPr>
                <w:rFonts w:hint="default" w:ascii="Times New Roman" w:hAnsi="Times New Roman" w:cs="Times New Roman"/>
                <w:color w:val="000000"/>
                <w:lang w:eastAsia="zh-CN"/>
              </w:rPr>
              <w:t>集中收集后</w:t>
            </w:r>
            <w:r>
              <w:rPr>
                <w:rFonts w:hint="default" w:ascii="Times New Roman" w:hAnsi="Times New Roman" w:cs="Times New Roman"/>
                <w:color w:val="000000"/>
              </w:rPr>
              <w:t>外售至废品回收站。</w:t>
            </w:r>
            <w:bookmarkEnd w:id="18"/>
            <w:bookmarkEnd w:id="19"/>
            <w:bookmarkEnd w:id="20"/>
          </w:p>
          <w:p>
            <w:pPr>
              <w:ind w:firstLine="480"/>
              <w:rPr>
                <w:rFonts w:hint="default" w:ascii="Times New Roman" w:hAnsi="Times New Roman" w:cs="Times New Roman"/>
                <w:color w:val="000000"/>
              </w:rPr>
            </w:pPr>
            <w:r>
              <w:rPr>
                <w:rFonts w:hint="default" w:ascii="Times New Roman" w:hAnsi="Times New Roman" w:cs="Times New Roman"/>
                <w:color w:val="000000"/>
              </w:rPr>
              <w:t>③施工人员产生的生活垃圾集中收集后</w:t>
            </w:r>
            <w:r>
              <w:rPr>
                <w:rFonts w:hint="default" w:ascii="Times New Roman" w:hAnsi="Times New Roman" w:cs="Times New Roman"/>
                <w:color w:val="000000"/>
                <w:lang w:eastAsia="zh-CN"/>
              </w:rPr>
              <w:t>与</w:t>
            </w:r>
            <w:r>
              <w:rPr>
                <w:rFonts w:hint="default" w:ascii="Times New Roman" w:hAnsi="Times New Roman" w:cs="Times New Roman"/>
                <w:color w:val="auto"/>
                <w:szCs w:val="21"/>
                <w:lang w:val="en-US" w:eastAsia="zh-CN"/>
              </w:rPr>
              <w:t>云南鑫成鹏高分子科技有限公司</w:t>
            </w:r>
            <w:r>
              <w:rPr>
                <w:rFonts w:hint="eastAsia" w:ascii="Times New Roman" w:hAnsi="Times New Roman" w:cs="Times New Roman"/>
                <w:color w:val="auto"/>
                <w:szCs w:val="21"/>
                <w:lang w:val="en-US" w:eastAsia="zh-CN"/>
              </w:rPr>
              <w:t>的</w:t>
            </w:r>
            <w:r>
              <w:rPr>
                <w:rFonts w:hint="default" w:ascii="Times New Roman" w:hAnsi="Times New Roman" w:cs="Times New Roman"/>
                <w:color w:val="000000"/>
                <w:lang w:eastAsia="zh-CN"/>
              </w:rPr>
              <w:t>生活垃圾一同</w:t>
            </w:r>
            <w:r>
              <w:rPr>
                <w:rFonts w:hint="default" w:ascii="Times New Roman" w:hAnsi="Times New Roman" w:cs="Times New Roman"/>
                <w:color w:val="000000"/>
              </w:rPr>
              <w:t>委托环卫部门清运处置。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7" w:hRule="atLeast"/>
        </w:trPr>
        <w:tc>
          <w:tcPr>
            <w:tcW w:w="452" w:type="dxa"/>
            <w:noWrap w:val="0"/>
            <w:vAlign w:val="center"/>
          </w:tcPr>
          <w:p>
            <w:pPr>
              <w:ind w:firstLine="0" w:firstLineChars="0"/>
              <w:rPr>
                <w:rFonts w:hint="default" w:ascii="Times New Roman" w:hAnsi="Times New Roman" w:cs="Times New Roman"/>
                <w:color w:val="000000"/>
              </w:rPr>
            </w:pPr>
          </w:p>
          <w:p>
            <w:pPr>
              <w:ind w:firstLine="0" w:firstLineChars="0"/>
              <w:rPr>
                <w:rFonts w:hint="default" w:ascii="Times New Roman" w:hAnsi="Times New Roman" w:cs="Times New Roman"/>
                <w:color w:val="000000"/>
              </w:rPr>
            </w:pPr>
            <w:r>
              <w:rPr>
                <w:rFonts w:hint="default" w:ascii="Times New Roman" w:hAnsi="Times New Roman" w:cs="Times New Roman"/>
                <w:color w:val="000000"/>
              </w:rPr>
              <w:t>运营期环境保护措施</w:t>
            </w:r>
          </w:p>
        </w:tc>
        <w:tc>
          <w:tcPr>
            <w:tcW w:w="8609" w:type="dxa"/>
            <w:noWrap w:val="0"/>
            <w:vAlign w:val="center"/>
          </w:tcPr>
          <w:p>
            <w:pPr>
              <w:pStyle w:val="4"/>
              <w:keepNext w:val="0"/>
              <w:keepLines w:val="0"/>
              <w:ind w:firstLine="482"/>
              <w:rPr>
                <w:rFonts w:hint="default" w:ascii="Times New Roman" w:hAnsi="Times New Roman" w:cs="Times New Roman"/>
              </w:rPr>
            </w:pPr>
            <w:bookmarkStart w:id="21" w:name="_Toc13003"/>
            <w:r>
              <w:rPr>
                <w:rFonts w:hint="default" w:ascii="Times New Roman" w:hAnsi="Times New Roman" w:cs="Times New Roman"/>
              </w:rPr>
              <w:t>（一）废气</w:t>
            </w:r>
            <w:bookmarkEnd w:id="21"/>
          </w:p>
          <w:p>
            <w:pPr>
              <w:pStyle w:val="18"/>
              <w:adjustRightInd w:val="0"/>
              <w:ind w:firstLine="480" w:firstLineChars="200"/>
              <w:rPr>
                <w:rFonts w:hint="default" w:ascii="Times New Roman" w:hAnsi="Times New Roman" w:cs="Times New Roman"/>
                <w:color w:val="auto"/>
              </w:rPr>
            </w:pPr>
            <w:r>
              <w:rPr>
                <w:rFonts w:hint="default" w:ascii="Times New Roman" w:hAnsi="Times New Roman" w:cs="Times New Roman"/>
                <w:bCs/>
                <w:color w:val="auto"/>
                <w:sz w:val="24"/>
                <w:szCs w:val="24"/>
              </w:rPr>
              <w:t>废气污染物产排情况统计详见下表。</w:t>
            </w:r>
          </w:p>
          <w:p>
            <w:pPr>
              <w:pStyle w:val="36"/>
              <w:bidi w:val="0"/>
              <w:rPr>
                <w:rFonts w:hint="default" w:ascii="Times New Roman" w:hAnsi="Times New Roman" w:cs="Times New Roman"/>
              </w:rPr>
            </w:pPr>
            <w:r>
              <w:rPr>
                <w:rFonts w:hint="default" w:ascii="Times New Roman" w:hAnsi="Times New Roman" w:cs="Times New Roman"/>
              </w:rPr>
              <w:t>表4-1废气污染物产排情况统计表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103"/>
              <w:gridCol w:w="1006"/>
              <w:gridCol w:w="1033"/>
              <w:gridCol w:w="1563"/>
              <w:gridCol w:w="932"/>
              <w:gridCol w:w="974"/>
              <w:gridCol w:w="1038"/>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1093" w:type="pct"/>
                  <w:gridSpan w:val="2"/>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产排污环节</w:t>
                  </w:r>
                </w:p>
              </w:tc>
              <w:tc>
                <w:tcPr>
                  <w:tcW w:w="3904" w:type="pct"/>
                  <w:gridSpan w:val="6"/>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rPr>
                  </w:pPr>
                  <w:r>
                    <w:rPr>
                      <w:rFonts w:hint="default" w:ascii="Times New Roman" w:hAnsi="Times New Roman" w:cs="Times New Roman"/>
                      <w:lang w:val="en-US" w:eastAsia="zh-CN"/>
                    </w:rPr>
                    <w:t>合胶</w:t>
                  </w:r>
                  <w:r>
                    <w:rPr>
                      <w:rFonts w:hint="default" w:ascii="Times New Roman" w:hAnsi="Times New Roman" w:cs="Times New Roman"/>
                      <w:lang w:eastAsia="zh-CN"/>
                    </w:rPr>
                    <w:t>、</w:t>
                  </w:r>
                  <w:r>
                    <w:rPr>
                      <w:rFonts w:hint="default" w:ascii="Times New Roman" w:hAnsi="Times New Roman" w:cs="Times New Roman"/>
                    </w:rPr>
                    <w:t>封胶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1093" w:type="pct"/>
                  <w:gridSpan w:val="2"/>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污染物种类</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甲苯</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二甲苯</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rPr>
                    <w:t>挥发性有机化合物</w:t>
                  </w:r>
                </w:p>
              </w:tc>
              <w:tc>
                <w:tcPr>
                  <w:tcW w:w="55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甲苯</w:t>
                  </w:r>
                </w:p>
              </w:tc>
              <w:tc>
                <w:tcPr>
                  <w:tcW w:w="581"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二甲苯</w:t>
                  </w:r>
                </w:p>
              </w:tc>
              <w:tc>
                <w:tcPr>
                  <w:tcW w:w="61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rPr>
                    <w:t>挥发性有机化合物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1093" w:type="pct"/>
                  <w:gridSpan w:val="2"/>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污染因子</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甲苯</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二甲苯</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color w:val="auto"/>
                      <w:szCs w:val="18"/>
                    </w:rPr>
                    <w:t>挥发性有机物（以非甲烷总烃计）</w:t>
                  </w:r>
                </w:p>
              </w:tc>
              <w:tc>
                <w:tcPr>
                  <w:tcW w:w="55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甲苯</w:t>
                  </w:r>
                </w:p>
              </w:tc>
              <w:tc>
                <w:tcPr>
                  <w:tcW w:w="581"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二甲苯</w:t>
                  </w:r>
                </w:p>
              </w:tc>
              <w:tc>
                <w:tcPr>
                  <w:tcW w:w="61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color w:val="auto"/>
                      <w:szCs w:val="18"/>
                    </w:rPr>
                    <w:t>挥发性有机物（以非甲烷总烃计）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1093" w:type="pct"/>
                  <w:gridSpan w:val="2"/>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污染物产生量（t/a）</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0.025</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0.025</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0.0508</w:t>
                  </w:r>
                </w:p>
              </w:tc>
              <w:tc>
                <w:tcPr>
                  <w:tcW w:w="55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cs="Times New Roman"/>
                      <w:bCs/>
                      <w:color w:val="auto"/>
                      <w:szCs w:val="18"/>
                      <w:lang w:val="en-US" w:eastAsia="zh-CN"/>
                    </w:rPr>
                    <w:t>0.25</w:t>
                  </w:r>
                </w:p>
              </w:tc>
              <w:tc>
                <w:tcPr>
                  <w:tcW w:w="581"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0.25</w:t>
                  </w:r>
                </w:p>
              </w:tc>
              <w:tc>
                <w:tcPr>
                  <w:tcW w:w="61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eastAsia="宋体" w:cs="Times New Roman"/>
                      <w:bCs/>
                      <w:color w:val="auto"/>
                      <w:szCs w:val="18"/>
                      <w:lang w:val="en-US" w:eastAsia="zh-CN"/>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1093" w:type="pct"/>
                  <w:gridSpan w:val="2"/>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产生速率（kg/h）</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0.01</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0.01</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0.02</w:t>
                  </w:r>
                </w:p>
              </w:tc>
              <w:tc>
                <w:tcPr>
                  <w:tcW w:w="55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cs="Times New Roman"/>
                      <w:bCs/>
                      <w:color w:val="auto"/>
                      <w:szCs w:val="18"/>
                      <w:lang w:val="en-US" w:eastAsia="zh-CN"/>
                    </w:rPr>
                    <w:t>0.1</w:t>
                  </w:r>
                </w:p>
              </w:tc>
              <w:tc>
                <w:tcPr>
                  <w:tcW w:w="581"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0.1</w:t>
                  </w:r>
                </w:p>
              </w:tc>
              <w:tc>
                <w:tcPr>
                  <w:tcW w:w="61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eastAsia="宋体" w:cs="Times New Roman"/>
                      <w:bCs/>
                      <w:color w:val="auto"/>
                      <w:szCs w:val="18"/>
                      <w:lang w:val="en-US" w:eastAsia="zh-CN"/>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1093" w:type="pct"/>
                  <w:gridSpan w:val="2"/>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废气量（万N</w:t>
                  </w:r>
                  <w:r>
                    <w:rPr>
                      <w:rFonts w:hint="default" w:ascii="Times New Roman" w:hAnsi="Times New Roman" w:cs="Times New Roman"/>
                      <w:b/>
                      <w:color w:val="auto"/>
                      <w:szCs w:val="18"/>
                      <w:lang w:eastAsia="zh-CN"/>
                    </w:rPr>
                    <w:t>m³</w:t>
                  </w:r>
                  <w:r>
                    <w:rPr>
                      <w:rFonts w:hint="default" w:ascii="Times New Roman" w:hAnsi="Times New Roman" w:cs="Times New Roman"/>
                      <w:b/>
                      <w:color w:val="auto"/>
                      <w:szCs w:val="18"/>
                    </w:rPr>
                    <w:t>/a）</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w:t>
                  </w:r>
                </w:p>
              </w:tc>
              <w:tc>
                <w:tcPr>
                  <w:tcW w:w="1755" w:type="pct"/>
                  <w:gridSpan w:val="3"/>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1093" w:type="pct"/>
                  <w:gridSpan w:val="2"/>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污染物产生浓度（mg/</w:t>
                  </w:r>
                  <w:r>
                    <w:rPr>
                      <w:rFonts w:hint="default" w:ascii="Times New Roman" w:hAnsi="Times New Roman" w:cs="Times New Roman"/>
                      <w:b/>
                      <w:color w:val="auto"/>
                      <w:szCs w:val="18"/>
                      <w:lang w:eastAsia="zh-CN"/>
                    </w:rPr>
                    <w:t>m³</w:t>
                  </w:r>
                  <w:r>
                    <w:rPr>
                      <w:rFonts w:hint="default" w:ascii="Times New Roman" w:hAnsi="Times New Roman" w:cs="Times New Roman"/>
                      <w:b/>
                      <w:color w:val="auto"/>
                      <w:szCs w:val="18"/>
                    </w:rPr>
                    <w:t>）</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w:t>
                  </w:r>
                </w:p>
              </w:tc>
              <w:tc>
                <w:tcPr>
                  <w:tcW w:w="55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4</w:t>
                  </w:r>
                </w:p>
              </w:tc>
              <w:tc>
                <w:tcPr>
                  <w:tcW w:w="581"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4</w:t>
                  </w:r>
                </w:p>
              </w:tc>
              <w:tc>
                <w:tcPr>
                  <w:tcW w:w="61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1093" w:type="pct"/>
                  <w:gridSpan w:val="2"/>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排放形式</w:t>
                  </w:r>
                </w:p>
              </w:tc>
              <w:tc>
                <w:tcPr>
                  <w:tcW w:w="2148" w:type="pct"/>
                  <w:gridSpan w:val="3"/>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无组织</w:t>
                  </w:r>
                </w:p>
              </w:tc>
              <w:tc>
                <w:tcPr>
                  <w:tcW w:w="1755" w:type="pct"/>
                  <w:gridSpan w:val="3"/>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435" w:type="pct"/>
                  <w:vMerge w:val="restar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治理设施</w:t>
                  </w:r>
                </w:p>
              </w:tc>
              <w:tc>
                <w:tcPr>
                  <w:tcW w:w="65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名称</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1755" w:type="pct"/>
                  <w:gridSpan w:val="3"/>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二级</w:t>
                  </w:r>
                  <w:r>
                    <w:rPr>
                      <w:rFonts w:hint="default" w:ascii="Times New Roman" w:hAnsi="Times New Roman" w:cs="Times New Roman"/>
                      <w:bCs/>
                      <w:color w:val="auto"/>
                      <w:szCs w:val="18"/>
                    </w:rPr>
                    <w:t>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435" w:type="pct"/>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p>
              </w:tc>
              <w:tc>
                <w:tcPr>
                  <w:tcW w:w="65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处理能力（</w:t>
                  </w:r>
                  <w:r>
                    <w:rPr>
                      <w:rFonts w:hint="default" w:ascii="Times New Roman" w:hAnsi="Times New Roman" w:cs="Times New Roman"/>
                      <w:b/>
                      <w:color w:val="auto"/>
                      <w:szCs w:val="18"/>
                      <w:lang w:eastAsia="zh-CN"/>
                    </w:rPr>
                    <w:t>m³</w:t>
                  </w:r>
                  <w:r>
                    <w:rPr>
                      <w:rFonts w:hint="default" w:ascii="Times New Roman" w:hAnsi="Times New Roman" w:cs="Times New Roman"/>
                      <w:b/>
                      <w:color w:val="auto"/>
                      <w:szCs w:val="18"/>
                    </w:rPr>
                    <w:t>/h）</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1755" w:type="pct"/>
                  <w:gridSpan w:val="3"/>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435" w:type="pct"/>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p>
              </w:tc>
              <w:tc>
                <w:tcPr>
                  <w:tcW w:w="65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收集效率</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1755" w:type="pct"/>
                  <w:gridSpan w:val="3"/>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435" w:type="pct"/>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p>
              </w:tc>
              <w:tc>
                <w:tcPr>
                  <w:tcW w:w="65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去除效率</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1755" w:type="pct"/>
                  <w:gridSpan w:val="3"/>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435" w:type="pct"/>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p>
              </w:tc>
              <w:tc>
                <w:tcPr>
                  <w:tcW w:w="65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是否为可行技术</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55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是</w:t>
                  </w:r>
                </w:p>
              </w:tc>
              <w:tc>
                <w:tcPr>
                  <w:tcW w:w="581"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rPr>
                    <w:t>是</w:t>
                  </w:r>
                </w:p>
              </w:tc>
              <w:tc>
                <w:tcPr>
                  <w:tcW w:w="61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1093" w:type="pct"/>
                  <w:gridSpan w:val="2"/>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污染物排放浓度（mg/</w:t>
                  </w:r>
                  <w:r>
                    <w:rPr>
                      <w:rFonts w:hint="default" w:ascii="Times New Roman" w:hAnsi="Times New Roman" w:cs="Times New Roman"/>
                      <w:b/>
                      <w:color w:val="auto"/>
                      <w:szCs w:val="18"/>
                      <w:lang w:eastAsia="zh-CN"/>
                    </w:rPr>
                    <w:t>m³</w:t>
                  </w:r>
                  <w:r>
                    <w:rPr>
                      <w:rFonts w:hint="default" w:ascii="Times New Roman" w:hAnsi="Times New Roman" w:cs="Times New Roman"/>
                      <w:b/>
                      <w:color w:val="auto"/>
                      <w:szCs w:val="18"/>
                    </w:rPr>
                    <w:t>）</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eastAsia="zh-CN"/>
                    </w:rPr>
                  </w:pPr>
                  <w:r>
                    <w:rPr>
                      <w:rFonts w:hint="default" w:ascii="Times New Roman" w:hAnsi="Times New Roman" w:cs="Times New Roman"/>
                      <w:bCs/>
                      <w:color w:val="auto"/>
                      <w:szCs w:val="18"/>
                      <w:lang w:val="en-US" w:eastAsia="zh-CN"/>
                    </w:rPr>
                    <w:t>/</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55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1.5</w:t>
                  </w:r>
                </w:p>
              </w:tc>
              <w:tc>
                <w:tcPr>
                  <w:tcW w:w="581"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1.5</w:t>
                  </w:r>
                </w:p>
              </w:tc>
              <w:tc>
                <w:tcPr>
                  <w:tcW w:w="61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1093" w:type="pct"/>
                  <w:gridSpan w:val="2"/>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污染物排放速率（kg/h）</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0.01</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0.01</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0.02</w:t>
                  </w:r>
                </w:p>
              </w:tc>
              <w:tc>
                <w:tcPr>
                  <w:tcW w:w="55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0.0375</w:t>
                  </w:r>
                </w:p>
              </w:tc>
              <w:tc>
                <w:tcPr>
                  <w:tcW w:w="581"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0.0375</w:t>
                  </w:r>
                </w:p>
              </w:tc>
              <w:tc>
                <w:tcPr>
                  <w:tcW w:w="61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eastAsia="宋体" w:cs="Times New Roman"/>
                      <w:bCs/>
                      <w:color w:val="auto"/>
                      <w:szCs w:val="18"/>
                      <w:lang w:val="en-US" w:eastAsia="zh-CN"/>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1093" w:type="pct"/>
                  <w:gridSpan w:val="2"/>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bookmarkStart w:id="22" w:name="OLE_LINK2" w:colFirst="1" w:colLast="4"/>
                  <w:r>
                    <w:rPr>
                      <w:rFonts w:hint="default" w:ascii="Times New Roman" w:hAnsi="Times New Roman" w:cs="Times New Roman"/>
                      <w:b/>
                      <w:color w:val="auto"/>
                      <w:szCs w:val="18"/>
                    </w:rPr>
                    <w:t>污染物排放量（t/a）</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0.025</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0.025</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0.0508</w:t>
                  </w:r>
                </w:p>
              </w:tc>
              <w:tc>
                <w:tcPr>
                  <w:tcW w:w="55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0.09</w:t>
                  </w:r>
                </w:p>
              </w:tc>
              <w:tc>
                <w:tcPr>
                  <w:tcW w:w="581"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cs="Times New Roman"/>
                      <w:bCs/>
                      <w:color w:val="auto"/>
                      <w:szCs w:val="18"/>
                      <w:lang w:val="en-US" w:eastAsia="zh-CN"/>
                    </w:rPr>
                    <w:t>0.09</w:t>
                  </w:r>
                </w:p>
              </w:tc>
              <w:tc>
                <w:tcPr>
                  <w:tcW w:w="61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val="en-US" w:eastAsia="zh-CN"/>
                    </w:rPr>
                  </w:pPr>
                  <w:r>
                    <w:rPr>
                      <w:rFonts w:hint="default" w:ascii="Times New Roman" w:hAnsi="Times New Roman" w:eastAsia="宋体" w:cs="Times New Roman"/>
                      <w:bCs/>
                      <w:color w:val="auto"/>
                      <w:szCs w:val="18"/>
                      <w:lang w:val="en-US" w:eastAsia="zh-CN"/>
                    </w:rPr>
                    <w:t>1.83</w:t>
                  </w:r>
                </w:p>
              </w:tc>
            </w:tr>
            <w:bookmarkEnd w:id="2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435" w:type="pct"/>
                  <w:vMerge w:val="restar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排放口基本情况</w:t>
                  </w:r>
                </w:p>
              </w:tc>
              <w:tc>
                <w:tcPr>
                  <w:tcW w:w="65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高度（m）</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1755" w:type="pct"/>
                  <w:gridSpan w:val="3"/>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435" w:type="pct"/>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p>
              </w:tc>
              <w:tc>
                <w:tcPr>
                  <w:tcW w:w="65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排气筒内径（m）</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1755" w:type="pct"/>
                  <w:gridSpan w:val="3"/>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435" w:type="pct"/>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p>
              </w:tc>
              <w:tc>
                <w:tcPr>
                  <w:tcW w:w="65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温度（℃）</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1755" w:type="pct"/>
                  <w:gridSpan w:val="3"/>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435" w:type="pct"/>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p>
              </w:tc>
              <w:tc>
                <w:tcPr>
                  <w:tcW w:w="65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编号及名称</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1755" w:type="pct"/>
                  <w:gridSpan w:val="3"/>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rPr>
                    <w:t>废气排气筒（DA001）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435" w:type="pct"/>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p>
              </w:tc>
              <w:tc>
                <w:tcPr>
                  <w:tcW w:w="65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类型</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1755" w:type="pct"/>
                  <w:gridSpan w:val="3"/>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83" w:hRule="atLeast"/>
                <w:jc w:val="center"/>
              </w:trPr>
              <w:tc>
                <w:tcPr>
                  <w:tcW w:w="435" w:type="pct"/>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p>
              </w:tc>
              <w:tc>
                <w:tcPr>
                  <w:tcW w:w="65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地理坐标</w:t>
                  </w:r>
                </w:p>
              </w:tc>
              <w:tc>
                <w:tcPr>
                  <w:tcW w:w="600"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616"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932"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lang w:val="en-US" w:eastAsia="zh-CN"/>
                    </w:rPr>
                    <w:t>/</w:t>
                  </w:r>
                </w:p>
              </w:tc>
              <w:tc>
                <w:tcPr>
                  <w:tcW w:w="1755" w:type="pct"/>
                  <w:gridSpan w:val="3"/>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rPr>
                    <w:t>E：102</w:t>
                  </w:r>
                  <w:r>
                    <w:rPr>
                      <w:rFonts w:hint="default" w:ascii="Times New Roman" w:hAnsi="Times New Roman" w:cs="Times New Roman"/>
                      <w:bCs/>
                      <w:color w:val="auto"/>
                      <w:szCs w:val="18"/>
                      <w:lang w:val="en-US" w:eastAsia="zh-CN"/>
                    </w:rPr>
                    <w:t>.85259</w:t>
                  </w:r>
                  <w:r>
                    <w:rPr>
                      <w:rFonts w:hint="default" w:ascii="Times New Roman" w:hAnsi="Times New Roman" w:cs="Times New Roman"/>
                      <w:bCs/>
                      <w:color w:val="auto"/>
                      <w:szCs w:val="18"/>
                    </w:rPr>
                    <w:t>°</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rPr>
                    <w:t>N：24</w:t>
                  </w:r>
                  <w:r>
                    <w:rPr>
                      <w:rFonts w:hint="default" w:ascii="Times New Roman" w:hAnsi="Times New Roman" w:cs="Times New Roman"/>
                      <w:bCs/>
                      <w:color w:val="auto"/>
                      <w:szCs w:val="18"/>
                      <w:lang w:val="en-US" w:eastAsia="zh-CN"/>
                    </w:rPr>
                    <w:t>.74517</w:t>
                  </w:r>
                  <w:r>
                    <w:rPr>
                      <w:rFonts w:hint="default" w:ascii="Times New Roman" w:hAnsi="Times New Roman" w:cs="Times New Roman"/>
                      <w:bCs/>
                      <w:color w:val="auto"/>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3" w:type="pct"/>
                  <w:gridSpan w:val="2"/>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排放标准</w:t>
                  </w:r>
                </w:p>
              </w:tc>
              <w:tc>
                <w:tcPr>
                  <w:tcW w:w="2148" w:type="pct"/>
                  <w:gridSpan w:val="3"/>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cs="Times New Roman"/>
                    </w:rPr>
                    <w:t>《大气污染物综合排放标准》（GB16297-1996）</w:t>
                  </w:r>
                  <w:r>
                    <w:rPr>
                      <w:rFonts w:hint="default" w:ascii="Times New Roman" w:hAnsi="Times New Roman" w:cs="Times New Roman"/>
                      <w:bCs/>
                      <w:color w:val="auto"/>
                      <w:szCs w:val="18"/>
                    </w:rPr>
                    <w:t>；</w:t>
                  </w:r>
                  <w:r>
                    <w:rPr>
                      <w:rFonts w:hint="default" w:ascii="Times New Roman" w:hAnsi="Times New Roman" w:cs="Times New Roman" w:eastAsiaTheme="minorEastAsia"/>
                      <w:color w:val="auto"/>
                      <w:szCs w:val="21"/>
                    </w:rPr>
                    <w:t>《挥发性有机物无组织排放控制标准》（GB37822-2019）</w:t>
                  </w:r>
                </w:p>
              </w:tc>
              <w:tc>
                <w:tcPr>
                  <w:tcW w:w="1757" w:type="pct"/>
                  <w:gridSpan w:val="4"/>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5" w:type="pct"/>
                  <w:vMerge w:val="restar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监测要求</w:t>
                  </w:r>
                </w:p>
              </w:tc>
              <w:tc>
                <w:tcPr>
                  <w:tcW w:w="65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监测点位</w:t>
                  </w:r>
                </w:p>
              </w:tc>
              <w:tc>
                <w:tcPr>
                  <w:tcW w:w="2148" w:type="pct"/>
                  <w:gridSpan w:val="3"/>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cs="Times New Roman"/>
                      <w:bCs/>
                      <w:color w:val="auto"/>
                      <w:szCs w:val="18"/>
                    </w:rPr>
                    <w:t>上风向1个，下风向3个</w:t>
                  </w:r>
                </w:p>
              </w:tc>
              <w:tc>
                <w:tcPr>
                  <w:tcW w:w="1757" w:type="pct"/>
                  <w:gridSpan w:val="4"/>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rPr>
                    <w:t>排气筒取样口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5" w:type="pct"/>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p>
              </w:tc>
              <w:tc>
                <w:tcPr>
                  <w:tcW w:w="65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监测因子</w:t>
                  </w:r>
                </w:p>
              </w:tc>
              <w:tc>
                <w:tcPr>
                  <w:tcW w:w="2148" w:type="pct"/>
                  <w:gridSpan w:val="3"/>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cs="Times New Roman"/>
                      <w:bCs/>
                      <w:color w:val="auto"/>
                      <w:szCs w:val="18"/>
                      <w:lang w:val="en-US" w:eastAsia="zh-CN"/>
                    </w:rPr>
                    <w:t>甲苯、二甲苯</w:t>
                  </w:r>
                  <w:r>
                    <w:rPr>
                      <w:rFonts w:hint="default" w:ascii="Times New Roman" w:hAnsi="Times New Roman" w:cs="Times New Roman"/>
                      <w:bCs/>
                      <w:color w:val="auto"/>
                      <w:szCs w:val="18"/>
                    </w:rPr>
                    <w:t>、</w:t>
                  </w:r>
                  <w:r>
                    <w:rPr>
                      <w:rFonts w:hint="default" w:ascii="Times New Roman" w:hAnsi="Times New Roman" w:cs="Times New Roman"/>
                      <w:bCs/>
                      <w:color w:val="auto"/>
                      <w:szCs w:val="18"/>
                      <w:lang w:val="en-US" w:eastAsia="zh-CN"/>
                    </w:rPr>
                    <w:t>非甲烷总烃</w:t>
                  </w:r>
                </w:p>
              </w:tc>
              <w:tc>
                <w:tcPr>
                  <w:tcW w:w="1757" w:type="pct"/>
                  <w:gridSpan w:val="4"/>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18"/>
                      <w:lang w:eastAsia="zh-CN"/>
                    </w:rPr>
                  </w:pPr>
                  <w:r>
                    <w:rPr>
                      <w:rFonts w:hint="default" w:ascii="Times New Roman" w:hAnsi="Times New Roman" w:cs="Times New Roman"/>
                      <w:bCs/>
                      <w:color w:val="auto"/>
                      <w:szCs w:val="18"/>
                      <w:lang w:val="en-US" w:eastAsia="zh-CN"/>
                    </w:rPr>
                    <w:t>甲苯、二甲苯</w:t>
                  </w:r>
                  <w:r>
                    <w:rPr>
                      <w:rFonts w:hint="default" w:ascii="Times New Roman" w:hAnsi="Times New Roman" w:cs="Times New Roman"/>
                      <w:bCs/>
                      <w:color w:val="auto"/>
                      <w:szCs w:val="18"/>
                    </w:rPr>
                    <w:t>、</w:t>
                  </w:r>
                  <w:r>
                    <w:rPr>
                      <w:rFonts w:hint="default" w:ascii="Times New Roman" w:hAnsi="Times New Roman" w:cs="Times New Roman"/>
                      <w:bCs/>
                      <w:color w:val="auto"/>
                      <w:szCs w:val="18"/>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5" w:type="pct"/>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p>
              </w:tc>
              <w:tc>
                <w:tcPr>
                  <w:tcW w:w="658"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Cs w:val="18"/>
                    </w:rPr>
                  </w:pPr>
                  <w:r>
                    <w:rPr>
                      <w:rFonts w:hint="default" w:ascii="Times New Roman" w:hAnsi="Times New Roman" w:cs="Times New Roman"/>
                      <w:b/>
                      <w:color w:val="auto"/>
                      <w:szCs w:val="18"/>
                    </w:rPr>
                    <w:t>监测频次</w:t>
                  </w:r>
                </w:p>
              </w:tc>
              <w:tc>
                <w:tcPr>
                  <w:tcW w:w="2148" w:type="pct"/>
                  <w:gridSpan w:val="3"/>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cs="Times New Roman"/>
                      <w:bCs/>
                      <w:color w:val="auto"/>
                      <w:szCs w:val="18"/>
                    </w:rPr>
                    <w:t>1次/年</w:t>
                  </w:r>
                </w:p>
              </w:tc>
              <w:tc>
                <w:tcPr>
                  <w:tcW w:w="1757" w:type="pct"/>
                  <w:gridSpan w:val="4"/>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Cs w:val="18"/>
                    </w:rPr>
                  </w:pPr>
                  <w:r>
                    <w:rPr>
                      <w:rFonts w:hint="default" w:ascii="Times New Roman" w:hAnsi="Times New Roman" w:cs="Times New Roman"/>
                      <w:bCs/>
                      <w:color w:val="auto"/>
                      <w:szCs w:val="18"/>
                    </w:rPr>
                    <w:t>1次/年</w:t>
                  </w:r>
                </w:p>
              </w:tc>
            </w:tr>
          </w:tbl>
          <w:p>
            <w:pPr>
              <w:bidi w:val="0"/>
              <w:rPr>
                <w:rFonts w:hint="default" w:ascii="Times New Roman" w:hAnsi="Times New Roman" w:cs="Times New Roman"/>
                <w:b/>
                <w:bCs/>
              </w:rPr>
            </w:pPr>
            <w:r>
              <w:rPr>
                <w:rFonts w:hint="default" w:ascii="Times New Roman" w:hAnsi="Times New Roman" w:cs="Times New Roman"/>
                <w:b/>
                <w:bCs/>
                <w:lang w:val="en-US" w:eastAsia="zh-CN"/>
              </w:rPr>
              <w:t>1、</w:t>
            </w:r>
            <w:r>
              <w:rPr>
                <w:rFonts w:hint="default" w:ascii="Times New Roman" w:hAnsi="Times New Roman" w:cs="Times New Roman"/>
                <w:b/>
                <w:bCs/>
              </w:rPr>
              <w:t>产排污环节、污染物及污染治理设施</w:t>
            </w:r>
          </w:p>
          <w:p>
            <w:pPr>
              <w:bidi w:val="0"/>
              <w:rPr>
                <w:rFonts w:hint="default" w:ascii="Times New Roman" w:hAnsi="Times New Roman" w:cs="Times New Roman"/>
              </w:rPr>
            </w:pPr>
            <w:r>
              <w:rPr>
                <w:rFonts w:hint="default" w:ascii="Times New Roman" w:hAnsi="Times New Roman" w:cs="Times New Roman"/>
              </w:rPr>
              <w:t>根据《建设项目环境影响报告表编制技术指南（污染影响类）（试行）》，结合《排污许可申请与核发技术规范总则》（HJ942-2018），本项目生产单元、生产设施、产污环节、主要污染物项目、排放形式、污染治理设施名称及工艺、排放口类型见表4-</w:t>
            </w:r>
            <w:r>
              <w:rPr>
                <w:rFonts w:hint="default" w:ascii="Times New Roman" w:hAnsi="Times New Roman" w:cs="Times New Roman"/>
                <w:lang w:val="en-US" w:eastAsia="zh-CN"/>
              </w:rPr>
              <w:t>2</w:t>
            </w:r>
            <w:r>
              <w:rPr>
                <w:rFonts w:hint="default" w:ascii="Times New Roman" w:hAnsi="Times New Roman" w:cs="Times New Roman"/>
              </w:rPr>
              <w:t>所示。</w:t>
            </w:r>
          </w:p>
          <w:p>
            <w:pPr>
              <w:pStyle w:val="36"/>
              <w:bidi w:val="0"/>
              <w:rPr>
                <w:rFonts w:hint="default" w:ascii="Times New Roman" w:hAnsi="Times New Roman" w:cs="Times New Roman"/>
                <w:lang w:val="en-US" w:eastAsia="zh-CN"/>
              </w:rPr>
            </w:pPr>
            <w:r>
              <w:rPr>
                <w:rFonts w:hint="default" w:ascii="Times New Roman" w:hAnsi="Times New Roman" w:cs="Times New Roman"/>
                <w:lang w:val="en-US" w:eastAsia="zh-CN"/>
              </w:rPr>
              <w:t>表4-2</w:t>
            </w:r>
            <w:r>
              <w:rPr>
                <w:rFonts w:hint="default" w:ascii="Times New Roman" w:hAnsi="Times New Roman" w:cs="Times New Roman"/>
              </w:rPr>
              <w:t>主要污染物项目、排放形式、污染治理设施名称及工艺、排放口类型</w:t>
            </w:r>
            <w:r>
              <w:rPr>
                <w:rFonts w:hint="default" w:ascii="Times New Roman" w:hAnsi="Times New Roman" w:cs="Times New Roman"/>
                <w:lang w:val="en-US" w:eastAsia="zh-CN"/>
              </w:rPr>
              <w:t>一览表</w:t>
            </w:r>
          </w:p>
          <w:tbl>
            <w:tblPr>
              <w:tblStyle w:val="9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7"/>
              <w:gridCol w:w="737"/>
              <w:gridCol w:w="950"/>
              <w:gridCol w:w="1237"/>
              <w:gridCol w:w="861"/>
              <w:gridCol w:w="1888"/>
              <w:gridCol w:w="943"/>
              <w:gridCol w:w="8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565" w:type="pct"/>
                  <w:vMerge w:val="restart"/>
                  <w:tcBorders>
                    <w:bottom w:val="nil"/>
                  </w:tcBorders>
                  <w:vAlign w:val="center"/>
                </w:tcPr>
                <w:p>
                  <w:pPr>
                    <w:pStyle w:val="45"/>
                    <w:bidi w:val="0"/>
                    <w:jc w:val="center"/>
                    <w:rPr>
                      <w:rFonts w:hint="default" w:ascii="Times New Roman" w:hAnsi="Times New Roman" w:cs="Times New Roman"/>
                      <w:b/>
                      <w:bCs/>
                    </w:rPr>
                  </w:pPr>
                  <w:r>
                    <w:rPr>
                      <w:rFonts w:hint="default" w:ascii="Times New Roman" w:hAnsi="Times New Roman" w:cs="Times New Roman"/>
                      <w:b/>
                      <w:bCs/>
                    </w:rPr>
                    <w:t>生产单元</w:t>
                  </w:r>
                </w:p>
              </w:tc>
              <w:tc>
                <w:tcPr>
                  <w:tcW w:w="439" w:type="pct"/>
                  <w:vMerge w:val="restart"/>
                  <w:tcBorders>
                    <w:bottom w:val="nil"/>
                  </w:tcBorders>
                  <w:vAlign w:val="center"/>
                </w:tcPr>
                <w:p>
                  <w:pPr>
                    <w:pStyle w:val="45"/>
                    <w:bidi w:val="0"/>
                    <w:jc w:val="center"/>
                    <w:rPr>
                      <w:rFonts w:hint="default" w:ascii="Times New Roman" w:hAnsi="Times New Roman" w:cs="Times New Roman"/>
                      <w:b/>
                      <w:bCs/>
                    </w:rPr>
                  </w:pPr>
                  <w:r>
                    <w:rPr>
                      <w:rFonts w:hint="default" w:ascii="Times New Roman" w:hAnsi="Times New Roman" w:cs="Times New Roman"/>
                      <w:b/>
                      <w:bCs/>
                    </w:rPr>
                    <w:t>生产</w:t>
                  </w:r>
                </w:p>
                <w:p>
                  <w:pPr>
                    <w:pStyle w:val="45"/>
                    <w:bidi w:val="0"/>
                    <w:jc w:val="center"/>
                    <w:rPr>
                      <w:rFonts w:hint="default" w:ascii="Times New Roman" w:hAnsi="Times New Roman" w:cs="Times New Roman"/>
                      <w:b/>
                      <w:bCs/>
                    </w:rPr>
                  </w:pPr>
                  <w:r>
                    <w:rPr>
                      <w:rFonts w:hint="default" w:ascii="Times New Roman" w:hAnsi="Times New Roman" w:cs="Times New Roman"/>
                      <w:b/>
                      <w:bCs/>
                    </w:rPr>
                    <w:t>设施</w:t>
                  </w:r>
                </w:p>
              </w:tc>
              <w:tc>
                <w:tcPr>
                  <w:tcW w:w="566" w:type="pct"/>
                  <w:vMerge w:val="restart"/>
                  <w:tcBorders>
                    <w:bottom w:val="nil"/>
                  </w:tcBorders>
                  <w:vAlign w:val="center"/>
                </w:tcPr>
                <w:p>
                  <w:pPr>
                    <w:pStyle w:val="45"/>
                    <w:bidi w:val="0"/>
                    <w:jc w:val="center"/>
                    <w:rPr>
                      <w:rFonts w:hint="default" w:ascii="Times New Roman" w:hAnsi="Times New Roman" w:cs="Times New Roman"/>
                      <w:b/>
                      <w:bCs/>
                    </w:rPr>
                  </w:pPr>
                  <w:r>
                    <w:rPr>
                      <w:rFonts w:hint="default" w:ascii="Times New Roman" w:hAnsi="Times New Roman" w:cs="Times New Roman"/>
                      <w:b/>
                      <w:bCs/>
                    </w:rPr>
                    <w:t>废气产污环节</w:t>
                  </w:r>
                </w:p>
              </w:tc>
              <w:tc>
                <w:tcPr>
                  <w:tcW w:w="737" w:type="pct"/>
                  <w:vMerge w:val="restart"/>
                  <w:tcBorders>
                    <w:bottom w:val="nil"/>
                  </w:tcBorders>
                  <w:vAlign w:val="center"/>
                </w:tcPr>
                <w:p>
                  <w:pPr>
                    <w:pStyle w:val="45"/>
                    <w:bidi w:val="0"/>
                    <w:jc w:val="center"/>
                    <w:rPr>
                      <w:rFonts w:hint="default" w:ascii="Times New Roman" w:hAnsi="Times New Roman" w:cs="Times New Roman"/>
                      <w:b/>
                      <w:bCs/>
                    </w:rPr>
                  </w:pPr>
                  <w:r>
                    <w:rPr>
                      <w:rFonts w:hint="default" w:ascii="Times New Roman" w:hAnsi="Times New Roman" w:cs="Times New Roman"/>
                      <w:b/>
                      <w:bCs/>
                    </w:rPr>
                    <w:t>主要污染物项目</w:t>
                  </w:r>
                </w:p>
              </w:tc>
              <w:tc>
                <w:tcPr>
                  <w:tcW w:w="513" w:type="pct"/>
                  <w:vMerge w:val="restart"/>
                  <w:tcBorders>
                    <w:bottom w:val="nil"/>
                  </w:tcBorders>
                  <w:vAlign w:val="center"/>
                </w:tcPr>
                <w:p>
                  <w:pPr>
                    <w:pStyle w:val="45"/>
                    <w:bidi w:val="0"/>
                    <w:jc w:val="center"/>
                    <w:rPr>
                      <w:rFonts w:hint="default" w:ascii="Times New Roman" w:hAnsi="Times New Roman" w:cs="Times New Roman"/>
                      <w:b/>
                      <w:bCs/>
                    </w:rPr>
                  </w:pPr>
                  <w:r>
                    <w:rPr>
                      <w:rFonts w:hint="default" w:ascii="Times New Roman" w:hAnsi="Times New Roman" w:cs="Times New Roman"/>
                      <w:b/>
                      <w:bCs/>
                    </w:rPr>
                    <w:t>主要排放形式</w:t>
                  </w:r>
                </w:p>
              </w:tc>
              <w:tc>
                <w:tcPr>
                  <w:tcW w:w="1687" w:type="pct"/>
                  <w:gridSpan w:val="2"/>
                  <w:vAlign w:val="center"/>
                </w:tcPr>
                <w:p>
                  <w:pPr>
                    <w:pStyle w:val="45"/>
                    <w:bidi w:val="0"/>
                    <w:jc w:val="center"/>
                    <w:rPr>
                      <w:rFonts w:hint="default" w:ascii="Times New Roman" w:hAnsi="Times New Roman" w:cs="Times New Roman"/>
                      <w:b/>
                      <w:bCs/>
                    </w:rPr>
                  </w:pPr>
                  <w:r>
                    <w:rPr>
                      <w:rFonts w:hint="default" w:ascii="Times New Roman" w:hAnsi="Times New Roman" w:cs="Times New Roman"/>
                      <w:b/>
                      <w:bCs/>
                    </w:rPr>
                    <w:t>主要污染治理设施</w:t>
                  </w:r>
                </w:p>
              </w:tc>
              <w:tc>
                <w:tcPr>
                  <w:tcW w:w="490" w:type="pct"/>
                  <w:vMerge w:val="restart"/>
                  <w:tcBorders>
                    <w:bottom w:val="nil"/>
                  </w:tcBorders>
                  <w:vAlign w:val="center"/>
                </w:tcPr>
                <w:p>
                  <w:pPr>
                    <w:pStyle w:val="45"/>
                    <w:bidi w:val="0"/>
                    <w:jc w:val="center"/>
                    <w:rPr>
                      <w:rFonts w:hint="default" w:ascii="Times New Roman" w:hAnsi="Times New Roman" w:cs="Times New Roman"/>
                      <w:b/>
                      <w:bCs/>
                    </w:rPr>
                  </w:pPr>
                  <w:r>
                    <w:rPr>
                      <w:rFonts w:hint="default" w:ascii="Times New Roman" w:hAnsi="Times New Roman" w:cs="Times New Roman"/>
                      <w:b/>
                      <w:bCs/>
                    </w:rPr>
                    <w:t>排放</w:t>
                  </w:r>
                </w:p>
                <w:p>
                  <w:pPr>
                    <w:pStyle w:val="45"/>
                    <w:bidi w:val="0"/>
                    <w:jc w:val="center"/>
                    <w:rPr>
                      <w:rFonts w:hint="default" w:ascii="Times New Roman" w:hAnsi="Times New Roman" w:cs="Times New Roman"/>
                      <w:b/>
                      <w:bCs/>
                    </w:rPr>
                  </w:pPr>
                  <w:r>
                    <w:rPr>
                      <w:rFonts w:hint="default" w:ascii="Times New Roman" w:hAnsi="Times New Roman" w:cs="Times New Roman"/>
                      <w:b/>
                      <w:bCs/>
                    </w:rPr>
                    <w:t>口类</w:t>
                  </w:r>
                </w:p>
                <w:p>
                  <w:pPr>
                    <w:pStyle w:val="45"/>
                    <w:bidi w:val="0"/>
                    <w:jc w:val="center"/>
                    <w:rPr>
                      <w:rFonts w:hint="default" w:ascii="Times New Roman" w:hAnsi="Times New Roman" w:cs="Times New Roman"/>
                      <w:b/>
                      <w:bCs/>
                    </w:rPr>
                  </w:pPr>
                  <w:r>
                    <w:rPr>
                      <w:rFonts w:hint="default" w:ascii="Times New Roman" w:hAnsi="Times New Roman" w:cs="Times New Roman"/>
                      <w:b/>
                      <w:bCs/>
                    </w:rPr>
                    <w:t>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565" w:type="pct"/>
                  <w:vMerge w:val="continue"/>
                  <w:tcBorders>
                    <w:top w:val="nil"/>
                  </w:tcBorders>
                  <w:vAlign w:val="center"/>
                </w:tcPr>
                <w:p>
                  <w:pPr>
                    <w:pStyle w:val="45"/>
                    <w:bidi w:val="0"/>
                    <w:jc w:val="center"/>
                    <w:rPr>
                      <w:rFonts w:hint="default" w:ascii="Times New Roman" w:hAnsi="Times New Roman" w:cs="Times New Roman"/>
                    </w:rPr>
                  </w:pPr>
                </w:p>
              </w:tc>
              <w:tc>
                <w:tcPr>
                  <w:tcW w:w="439" w:type="pct"/>
                  <w:vMerge w:val="continue"/>
                  <w:tcBorders>
                    <w:top w:val="nil"/>
                  </w:tcBorders>
                  <w:vAlign w:val="center"/>
                </w:tcPr>
                <w:p>
                  <w:pPr>
                    <w:pStyle w:val="45"/>
                    <w:bidi w:val="0"/>
                    <w:jc w:val="center"/>
                    <w:rPr>
                      <w:rFonts w:hint="default" w:ascii="Times New Roman" w:hAnsi="Times New Roman" w:cs="Times New Roman"/>
                    </w:rPr>
                  </w:pPr>
                </w:p>
              </w:tc>
              <w:tc>
                <w:tcPr>
                  <w:tcW w:w="566" w:type="pct"/>
                  <w:vMerge w:val="continue"/>
                  <w:tcBorders>
                    <w:top w:val="nil"/>
                  </w:tcBorders>
                  <w:vAlign w:val="center"/>
                </w:tcPr>
                <w:p>
                  <w:pPr>
                    <w:pStyle w:val="45"/>
                    <w:bidi w:val="0"/>
                    <w:jc w:val="center"/>
                    <w:rPr>
                      <w:rFonts w:hint="default" w:ascii="Times New Roman" w:hAnsi="Times New Roman" w:cs="Times New Roman"/>
                    </w:rPr>
                  </w:pPr>
                </w:p>
              </w:tc>
              <w:tc>
                <w:tcPr>
                  <w:tcW w:w="737" w:type="pct"/>
                  <w:vMerge w:val="continue"/>
                  <w:tcBorders>
                    <w:top w:val="nil"/>
                  </w:tcBorders>
                  <w:vAlign w:val="center"/>
                </w:tcPr>
                <w:p>
                  <w:pPr>
                    <w:pStyle w:val="45"/>
                    <w:bidi w:val="0"/>
                    <w:jc w:val="center"/>
                    <w:rPr>
                      <w:rFonts w:hint="default" w:ascii="Times New Roman" w:hAnsi="Times New Roman" w:cs="Times New Roman"/>
                    </w:rPr>
                  </w:pPr>
                </w:p>
              </w:tc>
              <w:tc>
                <w:tcPr>
                  <w:tcW w:w="513" w:type="pct"/>
                  <w:vMerge w:val="continue"/>
                  <w:tcBorders>
                    <w:top w:val="nil"/>
                  </w:tcBorders>
                  <w:vAlign w:val="center"/>
                </w:tcPr>
                <w:p>
                  <w:pPr>
                    <w:pStyle w:val="45"/>
                    <w:bidi w:val="0"/>
                    <w:jc w:val="center"/>
                    <w:rPr>
                      <w:rFonts w:hint="default" w:ascii="Times New Roman" w:hAnsi="Times New Roman" w:cs="Times New Roman"/>
                    </w:rPr>
                  </w:pPr>
                </w:p>
              </w:tc>
              <w:tc>
                <w:tcPr>
                  <w:tcW w:w="1125" w:type="pct"/>
                  <w:vAlign w:val="center"/>
                </w:tcPr>
                <w:p>
                  <w:pPr>
                    <w:pStyle w:val="45"/>
                    <w:bidi w:val="0"/>
                    <w:jc w:val="center"/>
                    <w:rPr>
                      <w:rFonts w:hint="default" w:ascii="Times New Roman" w:hAnsi="Times New Roman" w:cs="Times New Roman"/>
                      <w:b/>
                      <w:bCs/>
                    </w:rPr>
                  </w:pPr>
                  <w:r>
                    <w:rPr>
                      <w:rFonts w:hint="default" w:ascii="Times New Roman" w:hAnsi="Times New Roman" w:cs="Times New Roman"/>
                      <w:b/>
                      <w:bCs/>
                    </w:rPr>
                    <w:t>污染治理设施名称及工艺</w:t>
                  </w:r>
                </w:p>
              </w:tc>
              <w:tc>
                <w:tcPr>
                  <w:tcW w:w="561" w:type="pct"/>
                  <w:vAlign w:val="center"/>
                </w:tcPr>
                <w:p>
                  <w:pPr>
                    <w:pStyle w:val="45"/>
                    <w:bidi w:val="0"/>
                    <w:jc w:val="center"/>
                    <w:rPr>
                      <w:rFonts w:hint="default" w:ascii="Times New Roman" w:hAnsi="Times New Roman" w:cs="Times New Roman"/>
                      <w:b/>
                      <w:bCs/>
                    </w:rPr>
                  </w:pPr>
                  <w:r>
                    <w:rPr>
                      <w:rFonts w:hint="default" w:ascii="Times New Roman" w:hAnsi="Times New Roman" w:cs="Times New Roman"/>
                      <w:b/>
                      <w:bCs/>
                    </w:rPr>
                    <w:t>是否为</w:t>
                  </w:r>
                </w:p>
                <w:p>
                  <w:pPr>
                    <w:pStyle w:val="45"/>
                    <w:bidi w:val="0"/>
                    <w:jc w:val="center"/>
                    <w:rPr>
                      <w:rFonts w:hint="default" w:ascii="Times New Roman" w:hAnsi="Times New Roman" w:cs="Times New Roman"/>
                      <w:b/>
                      <w:bCs/>
                    </w:rPr>
                  </w:pPr>
                  <w:r>
                    <w:rPr>
                      <w:rFonts w:hint="default" w:ascii="Times New Roman" w:hAnsi="Times New Roman" w:cs="Times New Roman"/>
                      <w:b/>
                      <w:bCs/>
                    </w:rPr>
                    <w:t>可行技</w:t>
                  </w:r>
                </w:p>
                <w:p>
                  <w:pPr>
                    <w:pStyle w:val="45"/>
                    <w:bidi w:val="0"/>
                    <w:jc w:val="center"/>
                    <w:rPr>
                      <w:rFonts w:hint="default" w:ascii="Times New Roman" w:hAnsi="Times New Roman" w:cs="Times New Roman"/>
                      <w:b/>
                      <w:bCs/>
                    </w:rPr>
                  </w:pPr>
                  <w:r>
                    <w:rPr>
                      <w:rFonts w:hint="default" w:ascii="Times New Roman" w:hAnsi="Times New Roman" w:cs="Times New Roman"/>
                      <w:b/>
                      <w:bCs/>
                    </w:rPr>
                    <w:t>术</w:t>
                  </w:r>
                </w:p>
              </w:tc>
              <w:tc>
                <w:tcPr>
                  <w:tcW w:w="490" w:type="pct"/>
                  <w:vMerge w:val="continue"/>
                  <w:tcBorders>
                    <w:top w:val="nil"/>
                  </w:tcBorders>
                  <w:vAlign w:val="center"/>
                </w:tcPr>
                <w:p>
                  <w:pPr>
                    <w:pStyle w:val="45"/>
                    <w:bidi w:val="0"/>
                    <w:jc w:val="cente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565"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中空玻</w:t>
                  </w:r>
                </w:p>
                <w:p>
                  <w:pPr>
                    <w:pStyle w:val="45"/>
                    <w:bidi w:val="0"/>
                    <w:jc w:val="center"/>
                    <w:rPr>
                      <w:rFonts w:hint="default" w:ascii="Times New Roman" w:hAnsi="Times New Roman" w:cs="Times New Roman"/>
                    </w:rPr>
                  </w:pPr>
                  <w:r>
                    <w:rPr>
                      <w:rFonts w:hint="default" w:ascii="Times New Roman" w:hAnsi="Times New Roman" w:cs="Times New Roman"/>
                    </w:rPr>
                    <w:t>璃生产</w:t>
                  </w:r>
                </w:p>
                <w:p>
                  <w:pPr>
                    <w:pStyle w:val="45"/>
                    <w:bidi w:val="0"/>
                    <w:jc w:val="center"/>
                    <w:rPr>
                      <w:rFonts w:hint="default" w:ascii="Times New Roman" w:hAnsi="Times New Roman" w:cs="Times New Roman"/>
                    </w:rPr>
                  </w:pPr>
                  <w:r>
                    <w:rPr>
                      <w:rFonts w:hint="default" w:ascii="Times New Roman" w:hAnsi="Times New Roman" w:cs="Times New Roman"/>
                    </w:rPr>
                    <w:t>线</w:t>
                  </w:r>
                </w:p>
              </w:tc>
              <w:tc>
                <w:tcPr>
                  <w:tcW w:w="439" w:type="pct"/>
                  <w:vAlign w:val="center"/>
                </w:tcPr>
                <w:p>
                  <w:pPr>
                    <w:pStyle w:val="45"/>
                    <w:bidi w:val="0"/>
                    <w:jc w:val="center"/>
                    <w:rPr>
                      <w:rFonts w:hint="default" w:ascii="Times New Roman" w:hAnsi="Times New Roman" w:cs="Times New Roman"/>
                    </w:rPr>
                  </w:pPr>
                </w:p>
                <w:p>
                  <w:pPr>
                    <w:pStyle w:val="45"/>
                    <w:bidi w:val="0"/>
                    <w:jc w:val="center"/>
                    <w:rPr>
                      <w:rFonts w:hint="default" w:ascii="Times New Roman" w:hAnsi="Times New Roman" w:cs="Times New Roman"/>
                    </w:rPr>
                  </w:pPr>
                  <w:r>
                    <w:rPr>
                      <w:rFonts w:hint="default" w:ascii="Times New Roman" w:hAnsi="Times New Roman" w:cs="Times New Roman"/>
                    </w:rPr>
                    <w:t>/</w:t>
                  </w:r>
                </w:p>
              </w:tc>
              <w:tc>
                <w:tcPr>
                  <w:tcW w:w="566"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密封</w:t>
                  </w:r>
                </w:p>
              </w:tc>
              <w:tc>
                <w:tcPr>
                  <w:tcW w:w="73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有机废气</w:t>
                  </w:r>
                </w:p>
                <w:p>
                  <w:pPr>
                    <w:pStyle w:val="45"/>
                    <w:bidi w:val="0"/>
                    <w:jc w:val="center"/>
                    <w:rPr>
                      <w:rFonts w:hint="default" w:ascii="Times New Roman" w:hAnsi="Times New Roman" w:cs="Times New Roman"/>
                    </w:rPr>
                  </w:pPr>
                  <w:r>
                    <w:rPr>
                      <w:rFonts w:hint="default" w:ascii="Times New Roman" w:hAnsi="Times New Roman" w:cs="Times New Roman"/>
                    </w:rPr>
                    <w:t>（以非甲</w:t>
                  </w:r>
                </w:p>
                <w:p>
                  <w:pPr>
                    <w:pStyle w:val="45"/>
                    <w:bidi w:val="0"/>
                    <w:jc w:val="center"/>
                    <w:rPr>
                      <w:rFonts w:hint="default" w:ascii="Times New Roman" w:hAnsi="Times New Roman" w:cs="Times New Roman"/>
                    </w:rPr>
                  </w:pPr>
                  <w:r>
                    <w:rPr>
                      <w:rFonts w:hint="default" w:ascii="Times New Roman" w:hAnsi="Times New Roman" w:cs="Times New Roman"/>
                    </w:rPr>
                    <w:t>烷总烃计）、</w:t>
                  </w:r>
                </w:p>
                <w:p>
                  <w:pPr>
                    <w:pStyle w:val="45"/>
                    <w:bidi w:val="0"/>
                    <w:jc w:val="center"/>
                    <w:rPr>
                      <w:rFonts w:hint="default" w:ascii="Times New Roman" w:hAnsi="Times New Roman" w:cs="Times New Roman"/>
                    </w:rPr>
                  </w:pPr>
                  <w:r>
                    <w:rPr>
                      <w:rFonts w:hint="default" w:ascii="Times New Roman" w:hAnsi="Times New Roman" w:cs="Times New Roman"/>
                    </w:rPr>
                    <w:t>甲苯、二甲</w:t>
                  </w:r>
                </w:p>
                <w:p>
                  <w:pPr>
                    <w:pStyle w:val="45"/>
                    <w:bidi w:val="0"/>
                    <w:jc w:val="center"/>
                    <w:rPr>
                      <w:rFonts w:hint="default" w:ascii="Times New Roman" w:hAnsi="Times New Roman" w:cs="Times New Roman"/>
                    </w:rPr>
                  </w:pPr>
                  <w:r>
                    <w:rPr>
                      <w:rFonts w:hint="default" w:ascii="Times New Roman" w:hAnsi="Times New Roman" w:cs="Times New Roman"/>
                    </w:rPr>
                    <w:t>苯</w:t>
                  </w:r>
                </w:p>
              </w:tc>
              <w:tc>
                <w:tcPr>
                  <w:tcW w:w="513"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有组织</w:t>
                  </w:r>
                </w:p>
              </w:tc>
              <w:tc>
                <w:tcPr>
                  <w:tcW w:w="1125"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集气罩（</w:t>
                  </w:r>
                  <w:r>
                    <w:rPr>
                      <w:rFonts w:hint="default" w:ascii="Times New Roman" w:hAnsi="Times New Roman" w:cs="Times New Roman"/>
                      <w:lang w:val="en-US" w:eastAsia="zh-CN"/>
                    </w:rPr>
                    <w:t>90</w:t>
                  </w:r>
                  <w:r>
                    <w:rPr>
                      <w:rFonts w:hint="default" w:ascii="Times New Roman" w:hAnsi="Times New Roman" w:cs="Times New Roman"/>
                    </w:rPr>
                    <w:t>%）+</w:t>
                  </w:r>
                  <w:r>
                    <w:rPr>
                      <w:rFonts w:hint="default" w:ascii="Times New Roman" w:hAnsi="Times New Roman" w:cs="Times New Roman"/>
                      <w:lang w:val="en-US" w:eastAsia="zh-CN"/>
                    </w:rPr>
                    <w:t>二级</w:t>
                  </w:r>
                  <w:r>
                    <w:rPr>
                      <w:rFonts w:hint="default" w:ascii="Times New Roman" w:hAnsi="Times New Roman" w:cs="Times New Roman"/>
                    </w:rPr>
                    <w:t>活性炭吸附装置（</w:t>
                  </w:r>
                  <w:r>
                    <w:rPr>
                      <w:rFonts w:hint="default" w:ascii="Times New Roman" w:hAnsi="Times New Roman" w:cs="Times New Roman"/>
                      <w:lang w:val="en-US" w:eastAsia="zh-CN"/>
                    </w:rPr>
                    <w:t>60</w:t>
                  </w:r>
                  <w:r>
                    <w:rPr>
                      <w:rFonts w:hint="default" w:ascii="Times New Roman" w:hAnsi="Times New Roman" w:cs="Times New Roman"/>
                    </w:rPr>
                    <w:t>%）+排气筒（15m）</w:t>
                  </w:r>
                </w:p>
              </w:tc>
              <w:tc>
                <w:tcPr>
                  <w:tcW w:w="56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是</w:t>
                  </w:r>
                </w:p>
              </w:tc>
              <w:tc>
                <w:tcPr>
                  <w:tcW w:w="49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一般</w:t>
                  </w:r>
                </w:p>
                <w:p>
                  <w:pPr>
                    <w:pStyle w:val="45"/>
                    <w:bidi w:val="0"/>
                    <w:jc w:val="center"/>
                    <w:rPr>
                      <w:rFonts w:hint="default" w:ascii="Times New Roman" w:hAnsi="Times New Roman" w:cs="Times New Roman"/>
                    </w:rPr>
                  </w:pPr>
                  <w:r>
                    <w:rPr>
                      <w:rFonts w:hint="default" w:ascii="Times New Roman" w:hAnsi="Times New Roman" w:cs="Times New Roman"/>
                    </w:rPr>
                    <w:t>排放</w:t>
                  </w:r>
                </w:p>
                <w:p>
                  <w:pPr>
                    <w:pStyle w:val="45"/>
                    <w:bidi w:val="0"/>
                    <w:jc w:val="center"/>
                    <w:rPr>
                      <w:rFonts w:hint="default" w:ascii="Times New Roman" w:hAnsi="Times New Roman" w:cs="Times New Roman"/>
                    </w:rPr>
                  </w:pPr>
                  <w:r>
                    <w:rPr>
                      <w:rFonts w:hint="default" w:ascii="Times New Roman" w:hAnsi="Times New Roman" w:cs="Times New Roman"/>
                    </w:rPr>
                    <w:t>口</w:t>
                  </w:r>
                </w:p>
              </w:tc>
            </w:tr>
          </w:tbl>
          <w:p>
            <w:pPr>
              <w:bidi w:val="0"/>
              <w:rPr>
                <w:rFonts w:hint="default" w:ascii="Times New Roman" w:hAnsi="Times New Roman" w:cs="Times New Roman"/>
                <w:b/>
                <w:bCs/>
              </w:rPr>
            </w:pPr>
            <w:r>
              <w:rPr>
                <w:rFonts w:hint="default" w:ascii="Times New Roman" w:hAnsi="Times New Roman" w:cs="Times New Roman"/>
                <w:b/>
                <w:bCs/>
                <w:lang w:val="en-US" w:eastAsia="zh-CN"/>
              </w:rPr>
              <w:t>2</w:t>
            </w:r>
            <w:r>
              <w:rPr>
                <w:rFonts w:hint="default" w:ascii="Times New Roman" w:hAnsi="Times New Roman" w:cs="Times New Roman"/>
                <w:b/>
                <w:bCs/>
              </w:rPr>
              <w:t>、废气污染物源强分析</w:t>
            </w:r>
          </w:p>
          <w:p>
            <w:pPr>
              <w:bidi w:val="0"/>
              <w:rPr>
                <w:rFonts w:hint="default" w:ascii="Times New Roman" w:hAnsi="Times New Roman" w:cs="Times New Roman"/>
              </w:rPr>
            </w:pPr>
            <w:r>
              <w:rPr>
                <w:rFonts w:hint="default" w:ascii="Times New Roman" w:hAnsi="Times New Roman" w:cs="Times New Roman"/>
              </w:rPr>
              <w:t>营运期，本项目主要废气为：中空玻璃密封工序产生的有机废气（以非甲烷总烃计）、甲苯、二甲苯，食堂油烟。</w:t>
            </w:r>
          </w:p>
          <w:p>
            <w:pPr>
              <w:bidi w:val="0"/>
              <w:rPr>
                <w:rFonts w:hint="default" w:ascii="Times New Roman" w:hAnsi="Times New Roman" w:cs="Times New Roman"/>
              </w:rPr>
            </w:pPr>
            <w:r>
              <w:rPr>
                <w:rFonts w:hint="default" w:ascii="Times New Roman" w:hAnsi="Times New Roman" w:cs="Times New Roman"/>
              </w:rPr>
              <w:t>本项目共设置一根排气筒：中空玻璃密封工序由DA001排气筒。</w:t>
            </w:r>
          </w:p>
          <w:p>
            <w:pPr>
              <w:bidi w:val="0"/>
              <w:rPr>
                <w:rFonts w:hint="default" w:ascii="Times New Roman" w:hAnsi="Times New Roman" w:cs="Times New Roman"/>
              </w:rPr>
            </w:pPr>
            <w:r>
              <w:rPr>
                <w:rFonts w:hint="default" w:ascii="Times New Roman" w:hAnsi="Times New Roman" w:cs="Times New Roman"/>
                <w:b/>
                <w:bCs/>
              </w:rPr>
              <w:t>中空玻璃密封工序：</w:t>
            </w:r>
            <w:r>
              <w:rPr>
                <w:rFonts w:hint="default" w:ascii="Times New Roman" w:hAnsi="Times New Roman" w:cs="Times New Roman"/>
              </w:rPr>
              <w:t>本项目中空玻璃密封工序采用丁基密封胶作为第一道密封胶（内道密封）和双组份硅酮结构密封胶作为第二道密封胶过程中产生的有机废气（以非甲烷总烃计）、甲苯、二甲苯苯通过集气罩收集后经过管道进入UV光氧分解+活性炭吸附设备处理后由1根15m高的排气筒DA001排放。</w:t>
            </w:r>
          </w:p>
          <w:p>
            <w:pPr>
              <w:bidi w:val="0"/>
              <w:rPr>
                <w:rFonts w:hint="default" w:ascii="Times New Roman" w:hAnsi="Times New Roman" w:cs="Times New Roman"/>
              </w:rPr>
            </w:pPr>
            <w:r>
              <w:rPr>
                <w:rFonts w:hint="default" w:ascii="Times New Roman" w:hAnsi="Times New Roman" w:cs="Times New Roman"/>
                <w:b/>
                <w:bCs/>
              </w:rPr>
              <w:t>食堂油烟：</w:t>
            </w:r>
            <w:r>
              <w:rPr>
                <w:rFonts w:hint="default" w:ascii="Times New Roman" w:hAnsi="Times New Roman" w:cs="Times New Roman"/>
              </w:rPr>
              <w:t>通过安装处理效率不低于60%的环保认证的油烟净化器处理后由排气筒引至屋顶排放。</w:t>
            </w:r>
          </w:p>
          <w:p>
            <w:pPr>
              <w:bidi w:val="0"/>
              <w:rPr>
                <w:rFonts w:hint="default" w:ascii="Times New Roman" w:hAnsi="Times New Roman" w:cs="Times New Roman"/>
                <w:b/>
                <w:bCs/>
              </w:rPr>
            </w:pPr>
            <w:r>
              <w:rPr>
                <w:rFonts w:hint="default" w:ascii="Times New Roman" w:hAnsi="Times New Roman" w:cs="Times New Roman"/>
                <w:b/>
                <w:bCs/>
                <w:lang w:eastAsia="zh-CN"/>
              </w:rPr>
              <w:t>（</w:t>
            </w:r>
            <w:r>
              <w:rPr>
                <w:rFonts w:hint="default" w:ascii="Times New Roman" w:hAnsi="Times New Roman" w:cs="Times New Roman"/>
                <w:b/>
                <w:bCs/>
                <w:lang w:val="en-US" w:eastAsia="zh-CN"/>
              </w:rPr>
              <w:t>1</w:t>
            </w:r>
            <w:r>
              <w:rPr>
                <w:rFonts w:hint="default" w:ascii="Times New Roman" w:hAnsi="Times New Roman" w:cs="Times New Roman"/>
                <w:b/>
                <w:bCs/>
                <w:lang w:eastAsia="zh-CN"/>
              </w:rPr>
              <w:t>）</w:t>
            </w:r>
            <w:r>
              <w:rPr>
                <w:rFonts w:hint="default" w:ascii="Times New Roman" w:hAnsi="Times New Roman" w:cs="Times New Roman"/>
                <w:b/>
                <w:bCs/>
              </w:rPr>
              <w:t>有组织废气</w:t>
            </w:r>
          </w:p>
          <w:p>
            <w:pPr>
              <w:bidi w:val="0"/>
              <w:rPr>
                <w:rFonts w:hint="default" w:ascii="Times New Roman" w:hAnsi="Times New Roman" w:cs="Times New Roman"/>
              </w:rPr>
            </w:pPr>
            <w:r>
              <w:rPr>
                <w:rFonts w:hint="default" w:ascii="Times New Roman" w:hAnsi="Times New Roman" w:cs="Times New Roman"/>
              </w:rPr>
              <w:t>中空玻璃密封工序（丁基胶、双组份硅酮结构密封胶）产生的有机废气（以非甲烷总烃计）、甲苯、二甲苯。</w:t>
            </w:r>
          </w:p>
          <w:p>
            <w:pPr>
              <w:bidi w:val="0"/>
              <w:rPr>
                <w:rFonts w:hint="default" w:ascii="Times New Roman" w:hAnsi="Times New Roman" w:cs="Times New Roman"/>
                <w:b/>
                <w:bCs/>
              </w:rPr>
            </w:pPr>
            <w:r>
              <w:rPr>
                <w:rFonts w:hint="default" w:ascii="Times New Roman" w:hAnsi="Times New Roman" w:cs="Times New Roman"/>
                <w:b/>
                <w:bCs/>
              </w:rPr>
              <w:t>1）挥发性有机物（以非甲烷总烃计）</w:t>
            </w:r>
          </w:p>
          <w:p>
            <w:pPr>
              <w:bidi w:val="0"/>
              <w:rPr>
                <w:rFonts w:hint="default" w:ascii="Times New Roman" w:hAnsi="Times New Roman" w:cs="Times New Roman"/>
                <w:sz w:val="24"/>
                <w:szCs w:val="24"/>
              </w:rPr>
            </w:pPr>
            <w:r>
              <w:rPr>
                <w:rFonts w:hint="default" w:ascii="Times New Roman" w:hAnsi="Times New Roman" w:cs="Times New Roman"/>
              </w:rPr>
              <w:t>①丁基胶：本项目涂胶工序采用丁基胶作为第一道密封胶（内道密封），其组分为10%丁基橡胶、38%聚异丁烯、12%碳黑、40%碳酸钙。涂胶工艺温度为125℃</w:t>
            </w:r>
            <w:r>
              <w:rPr>
                <w:rFonts w:hint="default" w:ascii="Times New Roman" w:hAnsi="Times New Roman" w:cs="Times New Roman"/>
                <w:lang w:eastAsia="zh-CN"/>
              </w:rPr>
              <w:t>，</w:t>
            </w:r>
            <w:r>
              <w:rPr>
                <w:rFonts w:hint="default" w:ascii="Times New Roman" w:hAnsi="Times New Roman" w:cs="Times New Roman"/>
                <w:spacing w:val="-4"/>
                <w:szCs w:val="24"/>
              </w:rPr>
              <w:t>丁基胶中碳黑、碳酸钙均为无机组分，不会挥发。丁基橡胶具有良好的化学稳定性</w:t>
            </w:r>
            <w:r>
              <w:rPr>
                <w:rFonts w:hint="default" w:ascii="Times New Roman" w:hAnsi="Times New Roman" w:cs="Times New Roman"/>
                <w:spacing w:val="-9"/>
                <w:szCs w:val="24"/>
              </w:rPr>
              <w:t>和热稳定性，聚异丁烯是一种高粘度、化学性能稳定的非挥发性成分，二者在</w:t>
            </w:r>
            <w:r>
              <w:rPr>
                <w:rFonts w:hint="default" w:ascii="Times New Roman" w:hAnsi="Times New Roman" w:eastAsia="Times New Roman" w:cs="Times New Roman"/>
                <w:spacing w:val="-9"/>
                <w:szCs w:val="24"/>
              </w:rPr>
              <w:t>125℃</w:t>
            </w:r>
            <w:r>
              <w:rPr>
                <w:rFonts w:hint="default" w:ascii="Times New Roman" w:hAnsi="Times New Roman" w:cs="Times New Roman"/>
                <w:spacing w:val="-4"/>
                <w:szCs w:val="24"/>
              </w:rPr>
              <w:t>下均不会挥发，但仍有少量未聚合单体挥发，废气主要组分为异丁烯，挥发的少量</w:t>
            </w:r>
            <w:r>
              <w:rPr>
                <w:rFonts w:hint="default" w:ascii="Times New Roman" w:hAnsi="Times New Roman" w:cs="Times New Roman"/>
                <w:spacing w:val="-1"/>
                <w:sz w:val="24"/>
                <w:szCs w:val="24"/>
              </w:rPr>
              <w:t>单体废气以非甲烷总烃计。</w:t>
            </w:r>
          </w:p>
          <w:p>
            <w:pPr>
              <w:bidi w:val="0"/>
              <w:rPr>
                <w:rFonts w:hint="default" w:ascii="Times New Roman" w:hAnsi="Times New Roman" w:cs="Times New Roman"/>
              </w:rPr>
            </w:pPr>
            <w:r>
              <w:rPr>
                <w:rFonts w:hint="default" w:ascii="Times New Roman" w:hAnsi="Times New Roman" w:cs="Times New Roman"/>
              </w:rPr>
              <w:t>②中空玻璃硅酮胶：本项目密封工序采用双组份硅酮结构密封胶作为第二道密封胶，本项目外购已经经过A、B混合后的硅酮胶。具有耐高温、耐低温、防潮、绝缘、耐老化等优异性能。本项目第二道涂密封胶在室温下操作，中空玻璃硅酮胶固化过程中挥发的少量有机废气以非甲烷总烃计。</w:t>
            </w:r>
          </w:p>
          <w:p>
            <w:pPr>
              <w:bidi w:val="0"/>
              <w:rPr>
                <w:rFonts w:hint="default" w:ascii="Times New Roman" w:hAnsi="Times New Roman" w:eastAsia="宋体" w:cs="Times New Roman"/>
                <w:vertAlign w:val="baseline"/>
                <w:lang w:eastAsia="zh-CN"/>
              </w:rPr>
            </w:pPr>
            <w:r>
              <w:rPr>
                <w:rFonts w:hint="default" w:ascii="Times New Roman" w:hAnsi="Times New Roman" w:cs="Times New Roman"/>
              </w:rPr>
              <w:t>根据《胶粘剂挥发性有机化合物限量》（GB/T33372-2020），本项目产生的挥发性有机物（以非甲烷总烃计）的</w:t>
            </w:r>
            <w:r>
              <w:rPr>
                <w:rFonts w:hint="default" w:ascii="Times New Roman" w:hAnsi="Times New Roman" w:cs="Times New Roman"/>
                <w:lang w:val="en-US" w:eastAsia="zh-CN"/>
              </w:rPr>
              <w:t>产生量</w:t>
            </w:r>
            <w:r>
              <w:rPr>
                <w:rFonts w:hint="default" w:ascii="Times New Roman" w:hAnsi="Times New Roman" w:cs="Times New Roman"/>
              </w:rPr>
              <w:t>是80g/L，生产中空玻璃时丁基胶和双组份硅酮胶年用量分别为</w:t>
            </w:r>
            <w:r>
              <w:rPr>
                <w:rFonts w:hint="default" w:ascii="Times New Roman" w:hAnsi="Times New Roman" w:cs="Times New Roman"/>
                <w:lang w:val="en-US" w:eastAsia="zh-CN"/>
              </w:rPr>
              <w:t>25</w:t>
            </w:r>
            <w:r>
              <w:rPr>
                <w:rFonts w:hint="default" w:ascii="Times New Roman" w:hAnsi="Times New Roman" w:cs="Times New Roman"/>
              </w:rPr>
              <w:t>t、</w:t>
            </w:r>
            <w:r>
              <w:rPr>
                <w:rFonts w:hint="default" w:ascii="Times New Roman" w:hAnsi="Times New Roman" w:cs="Times New Roman"/>
                <w:lang w:val="en-US" w:eastAsia="zh-CN"/>
              </w:rPr>
              <w:t>50</w:t>
            </w:r>
            <w:r>
              <w:rPr>
                <w:rFonts w:hint="default" w:ascii="Times New Roman" w:hAnsi="Times New Roman" w:cs="Times New Roman"/>
              </w:rPr>
              <w:t>t，两种胶的年用量为</w:t>
            </w:r>
            <w:r>
              <w:rPr>
                <w:rFonts w:hint="default" w:ascii="Times New Roman" w:hAnsi="Times New Roman" w:cs="Times New Roman"/>
                <w:lang w:val="en-US" w:eastAsia="zh-CN"/>
              </w:rPr>
              <w:t>75</w:t>
            </w:r>
            <w:r>
              <w:rPr>
                <w:rFonts w:hint="default" w:ascii="Times New Roman" w:hAnsi="Times New Roman" w:cs="Times New Roman"/>
              </w:rPr>
              <w:t>t，胶的密度按1.18g/c</w:t>
            </w:r>
            <w:r>
              <w:rPr>
                <w:rFonts w:hint="default" w:ascii="Times New Roman" w:hAnsi="Times New Roman" w:cs="Times New Roman"/>
                <w:lang w:eastAsia="zh-CN"/>
              </w:rPr>
              <w:t>m³</w:t>
            </w:r>
            <w:r>
              <w:rPr>
                <w:rFonts w:hint="default" w:ascii="Times New Roman" w:hAnsi="Times New Roman" w:cs="Times New Roman"/>
                <w:vertAlign w:val="baseline"/>
                <w:lang w:eastAsia="zh-CN"/>
              </w:rPr>
              <w:t>。</w:t>
            </w:r>
          </w:p>
          <w:p>
            <w:pPr>
              <w:bidi w:val="0"/>
              <w:ind w:left="0" w:leftChars="0" w:firstLine="0" w:firstLineChars="0"/>
              <w:rPr>
                <w:rFonts w:hint="default" w:ascii="Times New Roman" w:hAnsi="Times New Roman" w:eastAsia="宋体" w:cs="Times New Roman"/>
                <w:spacing w:val="-2"/>
                <w:szCs w:val="24"/>
                <w:lang w:val="en-US" w:eastAsia="zh-CN"/>
              </w:rPr>
            </w:pPr>
            <w:r>
              <w:rPr>
                <w:rFonts w:hint="default" w:ascii="Times New Roman" w:hAnsi="Times New Roman" w:cs="Times New Roman"/>
              </w:rPr>
              <w:t>两种胶的年用量为</w:t>
            </w:r>
            <w:r>
              <w:rPr>
                <w:rFonts w:hint="default" w:ascii="Times New Roman" w:hAnsi="Times New Roman" w:cs="Times New Roman"/>
                <w:lang w:val="en-US" w:eastAsia="zh-CN"/>
              </w:rPr>
              <w:t>75</w:t>
            </w:r>
            <w:r>
              <w:rPr>
                <w:rFonts w:hint="default" w:ascii="Times New Roman" w:hAnsi="Times New Roman" w:cs="Times New Roman"/>
              </w:rPr>
              <w:t>t，</w:t>
            </w:r>
            <w:r>
              <w:rPr>
                <w:rFonts w:hint="default" w:ascii="Times New Roman" w:hAnsi="Times New Roman" w:cs="Times New Roman"/>
                <w:szCs w:val="24"/>
              </w:rPr>
              <w:t>则挥发性有机物（以非甲烷总</w:t>
            </w:r>
            <w:r>
              <w:rPr>
                <w:rFonts w:hint="default" w:ascii="Times New Roman" w:hAnsi="Times New Roman" w:cs="Times New Roman"/>
                <w:spacing w:val="-2"/>
                <w:szCs w:val="24"/>
              </w:rPr>
              <w:t>烃计）产生量为</w:t>
            </w:r>
            <w:r>
              <w:rPr>
                <w:rFonts w:hint="default" w:ascii="Times New Roman" w:hAnsi="Times New Roman" w:eastAsia="宋体" w:cs="Times New Roman"/>
                <w:spacing w:val="-2"/>
                <w:szCs w:val="24"/>
                <w:lang w:val="en-US" w:eastAsia="zh-CN"/>
              </w:rPr>
              <w:t>5.08</w:t>
            </w:r>
            <w:r>
              <w:rPr>
                <w:rFonts w:hint="default" w:ascii="Times New Roman" w:hAnsi="Times New Roman" w:eastAsia="Times New Roman" w:cs="Times New Roman"/>
                <w:spacing w:val="-2"/>
                <w:szCs w:val="24"/>
              </w:rPr>
              <w:t>t/a</w:t>
            </w:r>
            <w:r>
              <w:rPr>
                <w:rFonts w:hint="default" w:ascii="Times New Roman" w:hAnsi="Times New Roman" w:eastAsia="宋体" w:cs="Times New Roman"/>
                <w:spacing w:val="-2"/>
                <w:szCs w:val="24"/>
                <w:lang w:eastAsia="zh-CN"/>
              </w:rPr>
              <w:t>，</w:t>
            </w:r>
            <w:r>
              <w:rPr>
                <w:rFonts w:hint="default" w:ascii="Times New Roman" w:hAnsi="Times New Roman" w:eastAsia="宋体" w:cs="Times New Roman"/>
                <w:spacing w:val="-2"/>
                <w:szCs w:val="24"/>
                <w:lang w:val="en-US" w:eastAsia="zh-CN"/>
              </w:rPr>
              <w:t>产生速率2.12</w:t>
            </w:r>
            <w:r>
              <w:rPr>
                <w:rFonts w:hint="default" w:ascii="Times New Roman" w:hAnsi="Times New Roman" w:cs="Times New Roman"/>
                <w:lang w:val="en-US" w:eastAsia="zh-CN"/>
              </w:rPr>
              <w:t>kg/h，产生浓度84.8mg/m³。</w:t>
            </w:r>
          </w:p>
          <w:p>
            <w:pPr>
              <w:ind w:firstLine="482"/>
              <w:rPr>
                <w:rFonts w:hint="default" w:ascii="Times New Roman" w:hAnsi="Times New Roman" w:cs="Times New Roman" w:eastAsiaTheme="minorEastAsia"/>
                <w:szCs w:val="24"/>
              </w:rPr>
            </w:pPr>
            <w:r>
              <w:rPr>
                <w:rFonts w:hint="default" w:ascii="Times New Roman" w:hAnsi="Times New Roman" w:cs="Times New Roman"/>
              </w:rPr>
              <w:t>封胶</w:t>
            </w:r>
            <w:r>
              <w:rPr>
                <w:rFonts w:hint="default" w:ascii="Times New Roman" w:hAnsi="Times New Roman" w:cs="Times New Roman" w:eastAsiaTheme="minorEastAsia"/>
                <w:szCs w:val="24"/>
              </w:rPr>
              <w:t>所需的风量：本项目共有</w:t>
            </w:r>
            <w:r>
              <w:rPr>
                <w:rFonts w:hint="default" w:ascii="Times New Roman" w:hAnsi="Times New Roman" w:cs="Times New Roman" w:eastAsiaTheme="minorEastAsia"/>
                <w:szCs w:val="24"/>
                <w:lang w:val="en-US" w:eastAsia="zh-CN"/>
              </w:rPr>
              <w:t>七套</w:t>
            </w:r>
            <w:r>
              <w:rPr>
                <w:rFonts w:hint="default" w:ascii="Times New Roman" w:hAnsi="Times New Roman" w:cs="Times New Roman" w:eastAsiaTheme="minorEastAsia"/>
                <w:szCs w:val="24"/>
              </w:rPr>
              <w:t>，建设单位拟在每一台</w:t>
            </w:r>
            <w:r>
              <w:rPr>
                <w:rFonts w:hint="default" w:ascii="Times New Roman" w:hAnsi="Times New Roman" w:cs="Times New Roman"/>
              </w:rPr>
              <w:t>胶涂布机</w:t>
            </w:r>
            <w:r>
              <w:rPr>
                <w:rFonts w:hint="default" w:ascii="Times New Roman" w:hAnsi="Times New Roman" w:cs="Times New Roman" w:eastAsiaTheme="minorEastAsia"/>
                <w:szCs w:val="24"/>
              </w:rPr>
              <w:t>上方设集气罩进行废气收集。根据《废气处理工程技术手册》（化学工业出版社，2013年版），按照以下经验公式计算得出单个集气罩所需的风量Q。</w:t>
            </w:r>
          </w:p>
          <w:p>
            <w:pPr>
              <w:bidi w:val="0"/>
              <w:rPr>
                <w:rFonts w:hint="default" w:ascii="Times New Roman" w:hAnsi="Times New Roman" w:cs="Times New Roman"/>
              </w:rPr>
            </w:pPr>
            <w:r>
              <w:rPr>
                <w:rFonts w:hint="default" w:ascii="Times New Roman" w:hAnsi="Times New Roman" w:cs="Times New Roman"/>
              </w:rPr>
              <w:t>Q=3600×1.4PHVx</w:t>
            </w:r>
          </w:p>
          <w:p>
            <w:pPr>
              <w:bidi w:val="0"/>
              <w:rPr>
                <w:rFonts w:hint="default" w:ascii="Times New Roman" w:hAnsi="Times New Roman" w:cs="Times New Roman"/>
              </w:rPr>
            </w:pPr>
            <w:r>
              <w:rPr>
                <w:rFonts w:hint="default" w:ascii="Times New Roman" w:hAnsi="Times New Roman" w:cs="Times New Roman"/>
              </w:rPr>
              <w:t>式中，Q：排气量，</w:t>
            </w:r>
            <w:r>
              <w:rPr>
                <w:rFonts w:hint="default" w:ascii="Times New Roman" w:hAnsi="Times New Roman" w:cs="Times New Roman"/>
                <w:lang w:eastAsia="zh-CN"/>
              </w:rPr>
              <w:t>m³</w:t>
            </w:r>
            <w:r>
              <w:rPr>
                <w:rFonts w:hint="default" w:ascii="Times New Roman" w:hAnsi="Times New Roman" w:cs="Times New Roman"/>
              </w:rPr>
              <w:t>/h；</w:t>
            </w:r>
          </w:p>
          <w:p>
            <w:pPr>
              <w:bidi w:val="0"/>
              <w:rPr>
                <w:rFonts w:hint="default" w:ascii="Times New Roman" w:hAnsi="Times New Roman" w:cs="Times New Roman"/>
              </w:rPr>
            </w:pPr>
            <w:r>
              <w:rPr>
                <w:rFonts w:hint="default" w:ascii="Times New Roman" w:hAnsi="Times New Roman" w:cs="Times New Roman"/>
              </w:rPr>
              <w:t>P：罩口周长，m；</w:t>
            </w:r>
          </w:p>
          <w:p>
            <w:pPr>
              <w:bidi w:val="0"/>
              <w:rPr>
                <w:rFonts w:hint="default" w:ascii="Times New Roman" w:hAnsi="Times New Roman" w:cs="Times New Roman"/>
              </w:rPr>
            </w:pPr>
            <w:r>
              <w:rPr>
                <w:rFonts w:hint="default" w:ascii="Times New Roman" w:hAnsi="Times New Roman" w:cs="Times New Roman"/>
              </w:rPr>
              <w:t>H：污染源至罩口距离，m；</w:t>
            </w:r>
          </w:p>
          <w:p>
            <w:pPr>
              <w:bidi w:val="0"/>
              <w:rPr>
                <w:rFonts w:hint="default" w:ascii="Times New Roman" w:hAnsi="Times New Roman" w:cs="Times New Roman"/>
              </w:rPr>
            </w:pPr>
            <w:r>
              <w:rPr>
                <w:rFonts w:hint="default" w:ascii="Times New Roman" w:hAnsi="Times New Roman" w:cs="Times New Roman"/>
              </w:rPr>
              <w:t>Vx：罩口空气吸入速度，m/s，本项目污染物放散情况以较低的速度散发到较平静的空气中，速度取值为0.5m/s。</w:t>
            </w:r>
            <w:r>
              <w:rPr>
                <w:rFonts w:hint="default" w:ascii="Times New Roman" w:hAnsi="Times New Roman" w:cs="Times New Roman"/>
                <w:spacing w:val="-2"/>
              </w:rPr>
              <w:t>风量计算见下表。</w:t>
            </w:r>
          </w:p>
          <w:p>
            <w:pPr>
              <w:pStyle w:val="36"/>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注塑机风量计算一览表</w:t>
            </w:r>
          </w:p>
          <w:tbl>
            <w:tblPr>
              <w:tblStyle w:val="98"/>
              <w:tblW w:w="499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12"/>
              <w:gridCol w:w="937"/>
              <w:gridCol w:w="984"/>
              <w:gridCol w:w="996"/>
              <w:gridCol w:w="1343"/>
              <w:gridCol w:w="1008"/>
              <w:gridCol w:w="15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961" w:type="pct"/>
                  <w:vAlign w:val="center"/>
                </w:tcPr>
                <w:p>
                  <w:pPr>
                    <w:pStyle w:val="45"/>
                    <w:bidi w:val="0"/>
                    <w:rPr>
                      <w:rFonts w:hint="default" w:ascii="Times New Roman" w:hAnsi="Times New Roman" w:cs="Times New Roman"/>
                    </w:rPr>
                  </w:pPr>
                  <w:r>
                    <w:rPr>
                      <w:rFonts w:hint="default" w:ascii="Times New Roman" w:hAnsi="Times New Roman" w:cs="Times New Roman"/>
                    </w:rPr>
                    <w:t>设备名称</w:t>
                  </w:r>
                </w:p>
              </w:tc>
              <w:tc>
                <w:tcPr>
                  <w:tcW w:w="559" w:type="pct"/>
                  <w:vAlign w:val="center"/>
                </w:tcPr>
                <w:p>
                  <w:pPr>
                    <w:pStyle w:val="45"/>
                    <w:bidi w:val="0"/>
                    <w:rPr>
                      <w:rFonts w:hint="default" w:ascii="Times New Roman" w:hAnsi="Times New Roman" w:cs="Times New Roman"/>
                    </w:rPr>
                  </w:pPr>
                  <w:r>
                    <w:rPr>
                      <w:rFonts w:hint="default" w:ascii="Times New Roman" w:hAnsi="Times New Roman" w:cs="Times New Roman"/>
                    </w:rPr>
                    <w:t>P（m）</w:t>
                  </w:r>
                </w:p>
              </w:tc>
              <w:tc>
                <w:tcPr>
                  <w:tcW w:w="587" w:type="pct"/>
                  <w:vAlign w:val="center"/>
                </w:tcPr>
                <w:p>
                  <w:pPr>
                    <w:pStyle w:val="45"/>
                    <w:bidi w:val="0"/>
                    <w:rPr>
                      <w:rFonts w:hint="default" w:ascii="Times New Roman" w:hAnsi="Times New Roman" w:cs="Times New Roman"/>
                    </w:rPr>
                  </w:pPr>
                  <w:r>
                    <w:rPr>
                      <w:rFonts w:hint="default" w:ascii="Times New Roman" w:hAnsi="Times New Roman" w:cs="Times New Roman"/>
                    </w:rPr>
                    <w:t>H（m）</w:t>
                  </w:r>
                </w:p>
              </w:tc>
              <w:tc>
                <w:tcPr>
                  <w:tcW w:w="594" w:type="pct"/>
                  <w:vAlign w:val="center"/>
                </w:tcPr>
                <w:p>
                  <w:pPr>
                    <w:pStyle w:val="45"/>
                    <w:bidi w:val="0"/>
                    <w:rPr>
                      <w:rFonts w:hint="default" w:ascii="Times New Roman" w:hAnsi="Times New Roman" w:cs="Times New Roman"/>
                    </w:rPr>
                  </w:pPr>
                  <w:r>
                    <w:rPr>
                      <w:rFonts w:hint="default" w:ascii="Times New Roman" w:hAnsi="Times New Roman" w:cs="Times New Roman"/>
                    </w:rPr>
                    <w:t>Vx（m/s）</w:t>
                  </w:r>
                </w:p>
              </w:tc>
              <w:tc>
                <w:tcPr>
                  <w:tcW w:w="801" w:type="pct"/>
                  <w:vAlign w:val="center"/>
                </w:tcPr>
                <w:p>
                  <w:pPr>
                    <w:pStyle w:val="45"/>
                    <w:bidi w:val="0"/>
                    <w:rPr>
                      <w:rFonts w:hint="default" w:ascii="Times New Roman" w:hAnsi="Times New Roman" w:cs="Times New Roman"/>
                    </w:rPr>
                  </w:pPr>
                  <w:r>
                    <w:rPr>
                      <w:rFonts w:hint="default" w:ascii="Times New Roman" w:hAnsi="Times New Roman" w:cs="Times New Roman"/>
                    </w:rPr>
                    <w:t>单台设备所需风量</w:t>
                  </w:r>
                  <w:r>
                    <w:rPr>
                      <w:rFonts w:hint="default" w:ascii="Times New Roman" w:hAnsi="Times New Roman" w:cs="Times New Roman"/>
                      <w:lang w:eastAsia="zh-CN"/>
                    </w:rPr>
                    <w:t>m³</w:t>
                  </w:r>
                  <w:r>
                    <w:rPr>
                      <w:rFonts w:hint="default" w:ascii="Times New Roman" w:hAnsi="Times New Roman" w:cs="Times New Roman"/>
                    </w:rPr>
                    <w:t>/h</w:t>
                  </w:r>
                </w:p>
              </w:tc>
              <w:tc>
                <w:tcPr>
                  <w:tcW w:w="601" w:type="pct"/>
                  <w:vAlign w:val="center"/>
                </w:tcPr>
                <w:p>
                  <w:pPr>
                    <w:pStyle w:val="45"/>
                    <w:bidi w:val="0"/>
                    <w:rPr>
                      <w:rFonts w:hint="default" w:ascii="Times New Roman" w:hAnsi="Times New Roman" w:cs="Times New Roman"/>
                    </w:rPr>
                  </w:pPr>
                  <w:r>
                    <w:rPr>
                      <w:rFonts w:hint="default" w:ascii="Times New Roman" w:hAnsi="Times New Roman" w:cs="Times New Roman"/>
                    </w:rPr>
                    <w:t>设备数量/台</w:t>
                  </w:r>
                </w:p>
              </w:tc>
              <w:tc>
                <w:tcPr>
                  <w:tcW w:w="894" w:type="pct"/>
                  <w:vAlign w:val="center"/>
                </w:tcPr>
                <w:p>
                  <w:pPr>
                    <w:pStyle w:val="45"/>
                    <w:bidi w:val="0"/>
                    <w:rPr>
                      <w:rFonts w:hint="default" w:ascii="Times New Roman" w:hAnsi="Times New Roman" w:cs="Times New Roman"/>
                    </w:rPr>
                  </w:pPr>
                  <w:r>
                    <w:rPr>
                      <w:rFonts w:hint="default" w:ascii="Times New Roman" w:hAnsi="Times New Roman" w:cs="Times New Roman"/>
                    </w:rPr>
                    <w:t>所需风量</w:t>
                  </w:r>
                </w:p>
                <w:p>
                  <w:pPr>
                    <w:pStyle w:val="45"/>
                    <w:bidi w:val="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eastAsia="zh-CN"/>
                    </w:rPr>
                    <w:t>m³</w:t>
                  </w:r>
                  <w:r>
                    <w:rPr>
                      <w:rFonts w:hint="default" w:ascii="Times New Roman" w:hAnsi="Times New Roman" w:cs="Times New Roman"/>
                    </w:rPr>
                    <w: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61" w:type="pct"/>
                  <w:vAlign w:val="center"/>
                </w:tcPr>
                <w:p>
                  <w:pPr>
                    <w:pStyle w:val="4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涂胶</w:t>
                  </w:r>
                </w:p>
              </w:tc>
              <w:tc>
                <w:tcPr>
                  <w:tcW w:w="559" w:type="pct"/>
                  <w:vAlign w:val="center"/>
                </w:tcPr>
                <w:p>
                  <w:pPr>
                    <w:pStyle w:val="4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w:t>
                  </w:r>
                </w:p>
              </w:tc>
              <w:tc>
                <w:tcPr>
                  <w:tcW w:w="587" w:type="pct"/>
                  <w:vAlign w:val="center"/>
                </w:tcPr>
                <w:p>
                  <w:pPr>
                    <w:pStyle w:val="45"/>
                    <w:bidi w:val="0"/>
                    <w:rPr>
                      <w:rFonts w:hint="default" w:ascii="Times New Roman" w:hAnsi="Times New Roman" w:eastAsia="宋体" w:cs="Times New Roman"/>
                      <w:lang w:eastAsia="zh-CN"/>
                    </w:rPr>
                  </w:pPr>
                  <w:r>
                    <w:rPr>
                      <w:rFonts w:hint="default" w:ascii="Times New Roman" w:hAnsi="Times New Roman" w:cs="Times New Roman"/>
                    </w:rPr>
                    <w:t>0.</w:t>
                  </w:r>
                  <w:r>
                    <w:rPr>
                      <w:rFonts w:hint="default" w:ascii="Times New Roman" w:hAnsi="Times New Roman" w:cs="Times New Roman"/>
                      <w:lang w:val="en-US" w:eastAsia="zh-CN"/>
                    </w:rPr>
                    <w:t>3</w:t>
                  </w:r>
                </w:p>
              </w:tc>
              <w:tc>
                <w:tcPr>
                  <w:tcW w:w="594" w:type="pct"/>
                  <w:vAlign w:val="center"/>
                </w:tcPr>
                <w:p>
                  <w:pPr>
                    <w:pStyle w:val="45"/>
                    <w:bidi w:val="0"/>
                    <w:rPr>
                      <w:rFonts w:hint="default" w:ascii="Times New Roman" w:hAnsi="Times New Roman" w:cs="Times New Roman"/>
                    </w:rPr>
                  </w:pPr>
                  <w:r>
                    <w:rPr>
                      <w:rFonts w:hint="default" w:ascii="Times New Roman" w:hAnsi="Times New Roman" w:cs="Times New Roman"/>
                    </w:rPr>
                    <w:t>0.5</w:t>
                  </w:r>
                </w:p>
              </w:tc>
              <w:tc>
                <w:tcPr>
                  <w:tcW w:w="801" w:type="pct"/>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1512</w:t>
                  </w:r>
                </w:p>
              </w:tc>
              <w:tc>
                <w:tcPr>
                  <w:tcW w:w="601" w:type="pct"/>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14</w:t>
                  </w:r>
                </w:p>
              </w:tc>
              <w:tc>
                <w:tcPr>
                  <w:tcW w:w="894" w:type="pct"/>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21168</w:t>
                  </w:r>
                </w:p>
              </w:tc>
            </w:tr>
          </w:tbl>
          <w:p>
            <w:pPr>
              <w:bidi w:val="0"/>
              <w:rPr>
                <w:rFonts w:hint="default" w:ascii="Times New Roman" w:hAnsi="Times New Roman" w:cs="Times New Roman"/>
              </w:rPr>
            </w:pPr>
            <w:r>
              <w:rPr>
                <w:rFonts w:hint="default" w:ascii="Times New Roman" w:hAnsi="Times New Roman" w:cs="Times New Roman"/>
              </w:rPr>
              <w:t>考虑管道损耗等因素，设计总风量取</w:t>
            </w:r>
            <w:r>
              <w:rPr>
                <w:rFonts w:hint="default" w:ascii="Times New Roman" w:hAnsi="Times New Roman" w:cs="Times New Roman"/>
                <w:lang w:val="en-US" w:eastAsia="zh-CN"/>
              </w:rPr>
              <w:t>25000</w:t>
            </w:r>
            <w:r>
              <w:rPr>
                <w:rFonts w:hint="default" w:ascii="Times New Roman" w:hAnsi="Times New Roman" w:cs="Times New Roman"/>
                <w:lang w:eastAsia="zh-CN"/>
              </w:rPr>
              <w:t>m³</w:t>
            </w:r>
            <w:r>
              <w:rPr>
                <w:rFonts w:hint="default" w:ascii="Times New Roman" w:hAnsi="Times New Roman" w:cs="Times New Roman"/>
              </w:rPr>
              <w:t>/h。项目</w:t>
            </w:r>
            <w:r>
              <w:rPr>
                <w:rFonts w:hint="default" w:ascii="Times New Roman" w:hAnsi="Times New Roman" w:cs="Times New Roman"/>
                <w:lang w:val="en-US" w:eastAsia="zh-CN"/>
              </w:rPr>
              <w:t>涂胶</w:t>
            </w:r>
            <w:r>
              <w:rPr>
                <w:rFonts w:hint="default" w:ascii="Times New Roman" w:hAnsi="Times New Roman" w:cs="Times New Roman"/>
              </w:rPr>
              <w:t>废气排入“两级活性炭吸附”装置进行处理，处理达标废气经</w:t>
            </w:r>
            <w:r>
              <w:rPr>
                <w:rFonts w:hint="default" w:ascii="Times New Roman" w:hAnsi="Times New Roman" w:cs="Times New Roman"/>
                <w:lang w:val="en-US" w:eastAsia="zh-CN"/>
              </w:rPr>
              <w:t>15</w:t>
            </w:r>
            <w:r>
              <w:rPr>
                <w:rFonts w:hint="default" w:ascii="Times New Roman" w:hAnsi="Times New Roman" w:cs="Times New Roman"/>
              </w:rPr>
              <w:t>m排气筒（DA001）高空排放。</w:t>
            </w:r>
          </w:p>
          <w:p>
            <w:pPr>
              <w:ind w:firstLine="480"/>
              <w:jc w:val="both"/>
              <w:rPr>
                <w:rFonts w:hint="default" w:ascii="Times New Roman" w:hAnsi="Times New Roman" w:eastAsia="宋体" w:cs="Times New Roman"/>
                <w:color w:val="auto"/>
                <w:lang w:val="en-US" w:eastAsia="zh-CN"/>
              </w:rPr>
            </w:pPr>
            <w:r>
              <w:rPr>
                <w:rFonts w:hint="default" w:ascii="Times New Roman" w:hAnsi="Times New Roman" w:cs="Times New Roman"/>
              </w:rPr>
              <w:t>建设单位拟在每一台</w:t>
            </w:r>
            <w:r>
              <w:rPr>
                <w:rFonts w:hint="default" w:ascii="Times New Roman" w:hAnsi="Times New Roman" w:cs="Times New Roman"/>
                <w:lang w:val="en-US" w:eastAsia="zh-CN"/>
              </w:rPr>
              <w:t>中空大线</w:t>
            </w:r>
            <w:r>
              <w:rPr>
                <w:rFonts w:hint="default" w:ascii="Times New Roman" w:hAnsi="Times New Roman" w:cs="Times New Roman"/>
              </w:rPr>
              <w:t>上方安装集气罩进行废气收集，根据《广东省工业源挥发性有机物减排量核算方法（试行）》表4.5-1，包围型集气设备-敞开控制风速不小于0.5m/s-集气效率为</w:t>
            </w:r>
            <w:r>
              <w:rPr>
                <w:rFonts w:hint="default" w:ascii="Times New Roman" w:hAnsi="Times New Roman" w:cs="Times New Roman"/>
                <w:lang w:val="en-US" w:eastAsia="zh-CN"/>
              </w:rPr>
              <w:t>9</w:t>
            </w:r>
            <w:r>
              <w:rPr>
                <w:rFonts w:hint="default" w:ascii="Times New Roman" w:hAnsi="Times New Roman" w:cs="Times New Roman"/>
              </w:rPr>
              <w:t>0%，因此本项目VOCs（含非甲烷总烃）收集效率取</w:t>
            </w:r>
            <w:r>
              <w:rPr>
                <w:rFonts w:hint="default" w:ascii="Times New Roman" w:hAnsi="Times New Roman" w:cs="Times New Roman"/>
                <w:lang w:val="en-US" w:eastAsia="zh-CN"/>
              </w:rPr>
              <w:t>9</w:t>
            </w:r>
            <w:r>
              <w:rPr>
                <w:rFonts w:hint="default" w:ascii="Times New Roman" w:hAnsi="Times New Roman" w:cs="Times New Roman"/>
              </w:rPr>
              <w:t>0%。参照《广东省家具制造行业挥发性有机废气治理技术指南》（广东省环保厅2014年12月）中的表4典型治理技术的经济成本及环境效益，吸附法可达到的治理效率为50-80%。本项目“两级活性炭吸附”装置对VOCs（含非甲烷总烃）的治理效率取</w:t>
            </w:r>
            <w:r>
              <w:rPr>
                <w:rFonts w:hint="default" w:ascii="Times New Roman" w:hAnsi="Times New Roman" w:cs="Times New Roman"/>
                <w:lang w:val="en-US" w:eastAsia="zh-CN"/>
              </w:rPr>
              <w:t>60</w:t>
            </w:r>
            <w:r>
              <w:rPr>
                <w:rFonts w:hint="default" w:ascii="Times New Roman" w:hAnsi="Times New Roman" w:cs="Times New Roman"/>
              </w:rPr>
              <w:t>%</w:t>
            </w:r>
            <w:r>
              <w:rPr>
                <w:rFonts w:hint="default" w:ascii="Times New Roman" w:hAnsi="Times New Roman" w:cs="Times New Roman"/>
                <w:lang w:eastAsia="zh-CN"/>
              </w:rPr>
              <w:t>，</w:t>
            </w:r>
            <w:r>
              <w:rPr>
                <w:rFonts w:hint="default" w:ascii="Times New Roman" w:hAnsi="Times New Roman" w:cs="Times New Roman"/>
                <w:lang w:val="en-US" w:eastAsia="zh-CN"/>
              </w:rPr>
              <w:t>则排放浓度为30.4mg/m³，排放速率为0.76kg/h，排放量1.83</w:t>
            </w:r>
            <w:r>
              <w:rPr>
                <w:rFonts w:hint="default" w:ascii="Times New Roman" w:hAnsi="Times New Roman" w:cs="Times New Roman" w:eastAsiaTheme="minorEastAsia"/>
              </w:rPr>
              <w:t>t/a</w:t>
            </w:r>
            <w:r>
              <w:rPr>
                <w:rFonts w:hint="default" w:ascii="Times New Roman" w:hAnsi="Times New Roman" w:cs="Times New Roman" w:eastAsiaTheme="minorEastAsia"/>
                <w:lang w:eastAsia="zh-CN"/>
              </w:rPr>
              <w:t>，</w:t>
            </w:r>
            <w:r>
              <w:rPr>
                <w:rFonts w:hint="default" w:ascii="Times New Roman" w:hAnsi="Times New Roman" w:cs="Times New Roman"/>
                <w:color w:val="auto"/>
              </w:rPr>
              <w:t>此外，集气罩未捕集</w:t>
            </w:r>
            <w:r>
              <w:rPr>
                <w:rFonts w:hint="default" w:ascii="Times New Roman" w:hAnsi="Times New Roman" w:cs="Times New Roman"/>
                <w:color w:val="auto"/>
                <w:lang w:val="en-US" w:eastAsia="zh-CN"/>
              </w:rPr>
              <w:t>10</w:t>
            </w:r>
            <w:r>
              <w:rPr>
                <w:rFonts w:hint="default" w:ascii="Times New Roman" w:hAnsi="Times New Roman" w:cs="Times New Roman"/>
                <w:color w:val="auto"/>
              </w:rPr>
              <w:t>%的</w:t>
            </w:r>
            <w:r>
              <w:rPr>
                <w:rFonts w:hint="default" w:ascii="Times New Roman" w:hAnsi="Times New Roman" w:cs="Times New Roman"/>
              </w:rPr>
              <w:t>VOCs</w:t>
            </w:r>
            <w:r>
              <w:rPr>
                <w:rFonts w:hint="default" w:ascii="Times New Roman" w:hAnsi="Times New Roman" w:cs="Times New Roman"/>
                <w:color w:val="auto"/>
              </w:rPr>
              <w:t>以无组织形式排放，无组织排放量为</w:t>
            </w:r>
            <w:r>
              <w:rPr>
                <w:rFonts w:hint="default" w:ascii="Times New Roman" w:hAnsi="Times New Roman" w:cs="Times New Roman"/>
                <w:color w:val="auto"/>
                <w:lang w:val="en-US" w:eastAsia="zh-CN"/>
              </w:rPr>
              <w:t>0.0508</w:t>
            </w:r>
            <w:r>
              <w:rPr>
                <w:rFonts w:hint="default" w:ascii="Times New Roman" w:hAnsi="Times New Roman" w:cs="Times New Roman"/>
                <w:color w:val="auto"/>
              </w:rPr>
              <w:t>t/a</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排放速率0.02</w:t>
            </w:r>
            <w:r>
              <w:rPr>
                <w:rFonts w:hint="default" w:ascii="Times New Roman" w:hAnsi="Times New Roman" w:cs="Times New Roman"/>
                <w:lang w:val="en-US" w:eastAsia="zh-CN"/>
              </w:rPr>
              <w:t>kg/h。</w:t>
            </w:r>
          </w:p>
          <w:p>
            <w:pPr>
              <w:bidi w:val="0"/>
              <w:rPr>
                <w:rFonts w:hint="default" w:ascii="Times New Roman" w:hAnsi="Times New Roman" w:eastAsia="宋体" w:cs="Times New Roman"/>
                <w:lang w:eastAsia="zh-CN"/>
              </w:rPr>
            </w:pPr>
            <w:r>
              <w:rPr>
                <w:rFonts w:hint="default" w:ascii="Times New Roman" w:hAnsi="Times New Roman" w:cs="Times New Roman"/>
                <w:lang w:eastAsia="zh-CN"/>
              </w:rPr>
              <w:t>（</w:t>
            </w:r>
            <w:r>
              <w:rPr>
                <w:rFonts w:hint="default" w:ascii="Times New Roman" w:hAnsi="Times New Roman" w:cs="Times New Roman"/>
                <w:b/>
                <w:bCs/>
                <w:color w:val="auto"/>
                <w:szCs w:val="21"/>
                <w:shd w:val="clear" w:color="auto" w:fill="FFFFFF"/>
                <w:lang w:val="en-US"/>
              </w:rPr>
              <w:t>注：二级活性炭设计要求：①</w:t>
            </w:r>
            <w:r>
              <w:rPr>
                <w:rFonts w:hint="default" w:ascii="Times New Roman" w:hAnsi="Times New Roman" w:cs="Times New Roman"/>
                <w:b/>
                <w:bCs/>
                <w:color w:val="auto"/>
                <w:szCs w:val="21"/>
                <w:shd w:val="clear" w:color="auto" w:fill="FFFFFF"/>
              </w:rPr>
              <w:t>距集气罩开口面最远处的VOCs无组织排放位置，控制风速应不低于0.3米/秒；</w:t>
            </w:r>
            <w:r>
              <w:rPr>
                <w:rFonts w:hint="default" w:ascii="Times New Roman" w:hAnsi="Times New Roman" w:cs="Times New Roman"/>
                <w:b/>
                <w:bCs/>
                <w:color w:val="auto"/>
                <w:szCs w:val="21"/>
                <w:shd w:val="clear" w:color="auto" w:fill="FFFFFF"/>
                <w:lang w:val="en-US"/>
              </w:rPr>
              <w:t>②活性炭吸附装置应委托有资质的单位对其进行设计及施工，确保有机废气治理设施去除效率不低于</w:t>
            </w:r>
            <w:r>
              <w:rPr>
                <w:rFonts w:hint="default" w:ascii="Times New Roman" w:hAnsi="Times New Roman" w:cs="Times New Roman"/>
                <w:b/>
                <w:bCs/>
                <w:color w:val="auto"/>
                <w:szCs w:val="21"/>
                <w:shd w:val="clear" w:color="auto" w:fill="FFFFFF"/>
                <w:lang w:val="en-US" w:eastAsia="zh-CN"/>
              </w:rPr>
              <w:t>60</w:t>
            </w:r>
            <w:r>
              <w:rPr>
                <w:rFonts w:hint="default" w:ascii="Times New Roman" w:hAnsi="Times New Roman" w:cs="Times New Roman"/>
                <w:b/>
                <w:bCs/>
                <w:color w:val="auto"/>
                <w:szCs w:val="21"/>
                <w:shd w:val="clear" w:color="auto" w:fill="FFFFFF"/>
                <w:lang w:val="en-US"/>
              </w:rPr>
              <w:t>%</w:t>
            </w:r>
            <w:r>
              <w:rPr>
                <w:rFonts w:hint="default" w:ascii="Times New Roman" w:hAnsi="Times New Roman" w:cs="Times New Roman"/>
                <w:b/>
                <w:bCs/>
                <w:color w:val="auto"/>
                <w:szCs w:val="21"/>
                <w:shd w:val="clear" w:color="auto" w:fill="FFFFFF"/>
              </w:rPr>
              <w:t>。</w:t>
            </w:r>
            <w:r>
              <w:rPr>
                <w:rFonts w:hint="default" w:ascii="Times New Roman" w:hAnsi="Times New Roman" w:cs="Times New Roman"/>
                <w:lang w:eastAsia="zh-CN"/>
              </w:rPr>
              <w:t>）</w:t>
            </w:r>
          </w:p>
          <w:p>
            <w:pPr>
              <w:pStyle w:val="114"/>
              <w:spacing w:before="40" w:line="359" w:lineRule="auto"/>
              <w:ind w:left="108" w:right="97" w:firstLine="483"/>
              <w:rPr>
                <w:rFonts w:hint="default" w:ascii="Times New Roman" w:hAnsi="Times New Roman" w:cs="Times New Roman"/>
                <w:sz w:val="24"/>
                <w:szCs w:val="24"/>
              </w:rPr>
            </w:pPr>
            <w:r>
              <w:rPr>
                <w:rFonts w:hint="default" w:ascii="Times New Roman" w:hAnsi="Times New Roman" w:cs="Times New Roman"/>
                <w:spacing w:val="-3"/>
                <w:sz w:val="24"/>
                <w:szCs w:val="24"/>
                <w:lang w:val="en-US" w:eastAsia="zh-CN"/>
              </w:rPr>
              <w:t>根据上述分析</w:t>
            </w:r>
            <w:r>
              <w:rPr>
                <w:rFonts w:hint="default" w:ascii="Times New Roman" w:hAnsi="Times New Roman" w:cs="Times New Roman"/>
                <w:spacing w:val="-3"/>
                <w:sz w:val="24"/>
                <w:szCs w:val="24"/>
              </w:rPr>
              <w:t>，项目产生的挥发性有机物（以非甲烷总烃计）经过集气罩</w:t>
            </w:r>
            <w:r>
              <w:rPr>
                <w:rFonts w:hint="default" w:ascii="Times New Roman" w:hAnsi="Times New Roman" w:cs="Times New Roman"/>
                <w:sz w:val="24"/>
                <w:szCs w:val="24"/>
              </w:rPr>
              <w:t>收集后经</w:t>
            </w:r>
            <w:r>
              <w:rPr>
                <w:rFonts w:hint="default" w:ascii="Times New Roman" w:hAnsi="Times New Roman" w:eastAsia="宋体" w:cs="Times New Roman"/>
                <w:sz w:val="24"/>
                <w:szCs w:val="24"/>
                <w:lang w:val="en-US" w:eastAsia="zh-CN"/>
              </w:rPr>
              <w:t>二级</w:t>
            </w:r>
            <w:r>
              <w:rPr>
                <w:rFonts w:hint="default" w:ascii="Times New Roman" w:hAnsi="Times New Roman" w:cs="Times New Roman"/>
                <w:sz w:val="24"/>
                <w:szCs w:val="24"/>
              </w:rPr>
              <w:t>活性炭吸附装置处理后，非甲烷总烃</w:t>
            </w:r>
            <w:r>
              <w:rPr>
                <w:rFonts w:hint="default" w:ascii="Times New Roman" w:hAnsi="Times New Roman" w:cs="Times New Roman"/>
                <w:spacing w:val="-1"/>
                <w:sz w:val="24"/>
                <w:szCs w:val="24"/>
              </w:rPr>
              <w:t>排放浓度及排放速率均能</w:t>
            </w:r>
            <w:r>
              <w:rPr>
                <w:rFonts w:hint="default" w:ascii="Times New Roman" w:hAnsi="Times New Roman" w:cs="Times New Roman"/>
                <w:spacing w:val="-4"/>
                <w:sz w:val="24"/>
                <w:szCs w:val="24"/>
              </w:rPr>
              <w:t>达到《大气污染物综合排放标准》（</w:t>
            </w:r>
            <w:r>
              <w:rPr>
                <w:rFonts w:hint="default" w:ascii="Times New Roman" w:hAnsi="Times New Roman" w:eastAsia="Times New Roman" w:cs="Times New Roman"/>
                <w:spacing w:val="-4"/>
                <w:sz w:val="24"/>
                <w:szCs w:val="24"/>
              </w:rPr>
              <w:t>GB16297—1996</w:t>
            </w:r>
            <w:r>
              <w:rPr>
                <w:rFonts w:hint="default" w:ascii="Times New Roman" w:hAnsi="Times New Roman" w:cs="Times New Roman"/>
                <w:spacing w:val="-4"/>
                <w:sz w:val="24"/>
                <w:szCs w:val="24"/>
              </w:rPr>
              <w:t>）表</w:t>
            </w:r>
            <w:r>
              <w:rPr>
                <w:rFonts w:hint="default" w:ascii="Times New Roman" w:hAnsi="Times New Roman" w:eastAsia="Times New Roman" w:cs="Times New Roman"/>
                <w:spacing w:val="-4"/>
                <w:sz w:val="24"/>
                <w:szCs w:val="24"/>
              </w:rPr>
              <w:t>2</w:t>
            </w:r>
            <w:r>
              <w:rPr>
                <w:rFonts w:hint="default" w:ascii="Times New Roman" w:hAnsi="Times New Roman" w:cs="Times New Roman"/>
                <w:spacing w:val="-4"/>
                <w:sz w:val="24"/>
                <w:szCs w:val="24"/>
              </w:rPr>
              <w:t>中二级标准限值，即非</w:t>
            </w:r>
            <w:r>
              <w:rPr>
                <w:rFonts w:hint="default" w:ascii="Times New Roman" w:hAnsi="Times New Roman" w:cs="Times New Roman"/>
                <w:spacing w:val="-7"/>
                <w:sz w:val="24"/>
                <w:szCs w:val="24"/>
              </w:rPr>
              <w:t>甲烷总烃排放浓度≦</w:t>
            </w:r>
            <w:r>
              <w:rPr>
                <w:rFonts w:hint="default" w:ascii="Times New Roman" w:hAnsi="Times New Roman" w:eastAsia="Times New Roman" w:cs="Times New Roman"/>
                <w:spacing w:val="-7"/>
                <w:sz w:val="24"/>
                <w:szCs w:val="24"/>
              </w:rPr>
              <w:t>120mg/m³</w:t>
            </w:r>
            <w:r>
              <w:rPr>
                <w:rFonts w:hint="default" w:ascii="Times New Roman" w:hAnsi="Times New Roman" w:eastAsia="宋体" w:cs="Times New Roman"/>
                <w:spacing w:val="-7"/>
                <w:sz w:val="24"/>
                <w:szCs w:val="24"/>
                <w:lang w:eastAsia="zh-CN"/>
              </w:rPr>
              <w:t>，</w:t>
            </w:r>
            <w:r>
              <w:rPr>
                <w:rFonts w:hint="default" w:ascii="Times New Roman" w:hAnsi="Times New Roman" w:cs="Times New Roman"/>
                <w:spacing w:val="-7"/>
                <w:sz w:val="24"/>
                <w:szCs w:val="24"/>
              </w:rPr>
              <w:t>排放速率≦</w:t>
            </w:r>
            <w:r>
              <w:rPr>
                <w:rFonts w:hint="default" w:ascii="Times New Roman" w:hAnsi="Times New Roman" w:eastAsia="Times New Roman" w:cs="Times New Roman"/>
                <w:spacing w:val="-7"/>
                <w:sz w:val="24"/>
                <w:szCs w:val="24"/>
              </w:rPr>
              <w:t>5kg/h</w:t>
            </w:r>
            <w:r>
              <w:rPr>
                <w:rFonts w:hint="default" w:ascii="Times New Roman" w:hAnsi="Times New Roman" w:cs="Times New Roman"/>
                <w:spacing w:val="-7"/>
                <w:sz w:val="24"/>
                <w:szCs w:val="24"/>
              </w:rPr>
              <w:t>。（本项目排气筒未高出周围</w:t>
            </w:r>
            <w:r>
              <w:rPr>
                <w:rFonts w:hint="default" w:ascii="Times New Roman" w:hAnsi="Times New Roman" w:eastAsia="Times New Roman" w:cs="Times New Roman"/>
                <w:spacing w:val="-7"/>
                <w:sz w:val="24"/>
                <w:szCs w:val="24"/>
              </w:rPr>
              <w:t>200m</w:t>
            </w:r>
            <w:r>
              <w:rPr>
                <w:rFonts w:hint="default" w:ascii="Times New Roman" w:hAnsi="Times New Roman" w:cs="Times New Roman"/>
                <w:spacing w:val="-3"/>
                <w:sz w:val="24"/>
                <w:szCs w:val="24"/>
              </w:rPr>
              <w:t>半径范围内的建筑物</w:t>
            </w:r>
            <w:r>
              <w:rPr>
                <w:rFonts w:hint="default" w:ascii="Times New Roman" w:hAnsi="Times New Roman" w:eastAsia="Times New Roman" w:cs="Times New Roman"/>
                <w:spacing w:val="-3"/>
                <w:sz w:val="24"/>
                <w:szCs w:val="24"/>
              </w:rPr>
              <w:t>5m</w:t>
            </w:r>
            <w:r>
              <w:rPr>
                <w:rFonts w:hint="default" w:ascii="Times New Roman" w:hAnsi="Times New Roman" w:cs="Times New Roman"/>
                <w:spacing w:val="-3"/>
                <w:sz w:val="24"/>
                <w:szCs w:val="24"/>
              </w:rPr>
              <w:t>以上，排放速率标准严格</w:t>
            </w:r>
            <w:r>
              <w:rPr>
                <w:rFonts w:hint="default" w:ascii="Times New Roman" w:hAnsi="Times New Roman" w:eastAsia="Times New Roman" w:cs="Times New Roman"/>
                <w:spacing w:val="-3"/>
                <w:sz w:val="24"/>
                <w:szCs w:val="24"/>
              </w:rPr>
              <w:t>50%</w:t>
            </w:r>
            <w:r>
              <w:rPr>
                <w:rFonts w:hint="default" w:ascii="Times New Roman" w:hAnsi="Times New Roman" w:cs="Times New Roman"/>
                <w:spacing w:val="-3"/>
                <w:sz w:val="24"/>
                <w:szCs w:val="24"/>
              </w:rPr>
              <w:t>执行。</w:t>
            </w:r>
          </w:p>
          <w:p>
            <w:pPr>
              <w:pStyle w:val="114"/>
              <w:spacing w:before="40" w:line="359" w:lineRule="auto"/>
              <w:ind w:left="108" w:right="97" w:firstLine="483"/>
              <w:rPr>
                <w:rFonts w:hint="default" w:ascii="Times New Roman" w:hAnsi="Times New Roman" w:eastAsia="宋体" w:cs="Times New Roman"/>
                <w:spacing w:val="-3"/>
                <w:sz w:val="24"/>
                <w:szCs w:val="24"/>
                <w:lang w:val="en-US" w:eastAsia="zh-CN"/>
              </w:rPr>
            </w:pPr>
            <w:r>
              <w:rPr>
                <w:rFonts w:hint="default" w:ascii="Times New Roman" w:hAnsi="Times New Roman" w:eastAsia="宋体" w:cs="Times New Roman"/>
                <w:spacing w:val="-3"/>
                <w:sz w:val="24"/>
                <w:szCs w:val="24"/>
                <w:lang w:val="en-US" w:eastAsia="zh-CN"/>
              </w:rPr>
              <w:t>2）甲苯、二甲苯</w:t>
            </w:r>
          </w:p>
          <w:p>
            <w:pPr>
              <w:pStyle w:val="114"/>
              <w:spacing w:before="40" w:line="359" w:lineRule="auto"/>
              <w:ind w:left="108" w:right="97" w:firstLine="483"/>
              <w:rPr>
                <w:rFonts w:hint="default" w:ascii="Times New Roman" w:hAnsi="Times New Roman" w:eastAsia="宋体" w:cs="Times New Roman"/>
                <w:spacing w:val="-3"/>
                <w:sz w:val="24"/>
                <w:szCs w:val="24"/>
                <w:lang w:val="en-US" w:eastAsia="zh-CN"/>
              </w:rPr>
            </w:pPr>
            <w:r>
              <w:rPr>
                <w:rFonts w:hint="default" w:ascii="Times New Roman" w:hAnsi="Times New Roman" w:eastAsia="宋体" w:cs="Times New Roman"/>
                <w:spacing w:val="-3"/>
                <w:sz w:val="24"/>
                <w:szCs w:val="24"/>
                <w:lang w:val="en-US" w:eastAsia="zh-CN"/>
              </w:rPr>
              <w:t>本项目密封工序采用双组份中空玻璃硅酮胶作为第二道密封胶，根据双组分硅酮结构密封胶检测报告，甲苯、二甲苯含量为0.10g/kg胶。</w:t>
            </w:r>
          </w:p>
          <w:p>
            <w:pPr>
              <w:pStyle w:val="114"/>
              <w:spacing w:before="40" w:line="359" w:lineRule="auto"/>
              <w:ind w:left="108" w:right="97" w:firstLine="483"/>
              <w:rPr>
                <w:rFonts w:hint="default" w:ascii="Times New Roman" w:hAnsi="Times New Roman" w:eastAsia="宋体" w:cs="Times New Roman"/>
                <w:spacing w:val="-3"/>
                <w:sz w:val="24"/>
                <w:szCs w:val="24"/>
                <w:lang w:val="en-US" w:eastAsia="zh-CN"/>
              </w:rPr>
            </w:pPr>
            <w:r>
              <w:rPr>
                <w:rFonts w:hint="default" w:ascii="Times New Roman" w:hAnsi="Times New Roman" w:eastAsia="宋体" w:cs="Times New Roman"/>
                <w:spacing w:val="-3"/>
                <w:sz w:val="24"/>
                <w:szCs w:val="24"/>
                <w:lang w:val="en-US" w:eastAsia="zh-CN"/>
              </w:rPr>
              <w:t>项目使用双组分硅酮密封胶50t/a，则甲苯、二甲苯含量为0.5t/a。本项目考虑甲苯、二甲苯全部挥发，则产生的甲苯、二甲苯为0.5t/a，甲苯、二甲苯产生量按照1：1进行核算，则产生的甲苯为0.25t/a、排放速率0.1kg/h、排放浓度4mg/</w:t>
            </w:r>
            <w:r>
              <w:rPr>
                <w:rFonts w:hint="default" w:ascii="Times New Roman" w:hAnsi="Times New Roman" w:cs="Times New Roman"/>
                <w:spacing w:val="-3"/>
                <w:sz w:val="24"/>
                <w:szCs w:val="24"/>
                <w:lang w:val="en-US" w:eastAsia="zh-CN"/>
              </w:rPr>
              <w:t>m³</w:t>
            </w:r>
            <w:r>
              <w:rPr>
                <w:rFonts w:hint="default" w:ascii="Times New Roman" w:hAnsi="Times New Roman" w:eastAsia="宋体" w:cs="Times New Roman"/>
                <w:spacing w:val="-3"/>
                <w:sz w:val="24"/>
                <w:szCs w:val="24"/>
                <w:lang w:val="en-US" w:eastAsia="zh-CN"/>
              </w:rPr>
              <w:t>，产生的二甲苯为0.25t/a、排放速率0.1kg/h、排放浓度4mg/</w:t>
            </w:r>
            <w:r>
              <w:rPr>
                <w:rFonts w:hint="default" w:ascii="Times New Roman" w:hAnsi="Times New Roman" w:cs="Times New Roman"/>
                <w:spacing w:val="-3"/>
                <w:sz w:val="24"/>
                <w:szCs w:val="24"/>
                <w:lang w:val="en-US" w:eastAsia="zh-CN"/>
              </w:rPr>
              <w:t>m³</w:t>
            </w:r>
            <w:r>
              <w:rPr>
                <w:rFonts w:hint="default" w:ascii="Times New Roman" w:hAnsi="Times New Roman" w:eastAsia="宋体" w:cs="Times New Roman"/>
                <w:spacing w:val="-3"/>
                <w:sz w:val="24"/>
                <w:szCs w:val="24"/>
                <w:lang w:val="en-US" w:eastAsia="zh-CN"/>
              </w:rPr>
              <w:t>。本项目产生的甲苯、二甲苯、非甲烷总烃都是由双组份中空玻璃硅酮胶固化工段产生，甲苯、二甲苯、非甲烷总烃通过在中空玻璃生产线上方设置集气罩收集之后，经过二级活性炭吸附设处理后由15m高排气筒排放，二级活性炭吸附设备的处理效率为60%，集气罩的收集效率为90%，风量为25000</w:t>
            </w:r>
            <w:r>
              <w:rPr>
                <w:rFonts w:hint="default" w:ascii="Times New Roman" w:hAnsi="Times New Roman" w:cs="Times New Roman"/>
                <w:spacing w:val="-3"/>
                <w:sz w:val="24"/>
                <w:szCs w:val="24"/>
                <w:lang w:val="en-US" w:eastAsia="zh-CN"/>
              </w:rPr>
              <w:t>m³</w:t>
            </w:r>
            <w:r>
              <w:rPr>
                <w:rFonts w:hint="default" w:ascii="Times New Roman" w:hAnsi="Times New Roman" w:eastAsia="宋体" w:cs="Times New Roman"/>
                <w:spacing w:val="-3"/>
                <w:sz w:val="24"/>
                <w:szCs w:val="24"/>
                <w:lang w:val="en-US" w:eastAsia="zh-CN"/>
              </w:rPr>
              <w:t>/h，甲苯排放量为0.09t/a，排放速率为0.0375kg/h，排放浓度1.5</w:t>
            </w:r>
            <w:r>
              <w:rPr>
                <w:rFonts w:hint="default" w:ascii="Times New Roman" w:hAnsi="Times New Roman" w:eastAsia="Times New Roman" w:cs="Times New Roman"/>
                <w:spacing w:val="-7"/>
                <w:sz w:val="24"/>
                <w:szCs w:val="24"/>
              </w:rPr>
              <w:t>mg/m³</w:t>
            </w: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lang w:val="en-US" w:eastAsia="zh-CN"/>
              </w:rPr>
              <w:t>二</w:t>
            </w:r>
            <w:r>
              <w:rPr>
                <w:rFonts w:hint="default" w:ascii="Times New Roman" w:hAnsi="Times New Roman" w:eastAsia="宋体" w:cs="Times New Roman"/>
                <w:spacing w:val="-3"/>
                <w:sz w:val="24"/>
                <w:szCs w:val="24"/>
                <w:lang w:val="en-US" w:eastAsia="zh-CN"/>
              </w:rPr>
              <w:t>甲苯排放量为0.09t/a，排放速率为0.0375kg/h，排放浓度1.5</w:t>
            </w:r>
            <w:r>
              <w:rPr>
                <w:rFonts w:hint="default" w:ascii="Times New Roman" w:hAnsi="Times New Roman" w:eastAsia="Times New Roman" w:cs="Times New Roman"/>
                <w:spacing w:val="-7"/>
                <w:sz w:val="24"/>
                <w:szCs w:val="24"/>
              </w:rPr>
              <w:t>mg/m³</w:t>
            </w: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lang w:val="en-US" w:eastAsia="zh-CN"/>
              </w:rPr>
              <w:t>未被收集的甲苯及二甲苯为</w:t>
            </w:r>
            <w:r>
              <w:rPr>
                <w:rFonts w:hint="default" w:ascii="Times New Roman" w:hAnsi="Times New Roman" w:eastAsia="宋体" w:cs="Times New Roman"/>
                <w:spacing w:val="-3"/>
                <w:sz w:val="24"/>
                <w:szCs w:val="24"/>
                <w:lang w:val="en-US" w:eastAsia="zh-CN"/>
              </w:rPr>
              <w:t>0.025t/a、0.025t/a，速率为0.01kg/h、0.01kg/h。</w:t>
            </w:r>
          </w:p>
          <w:p>
            <w:pPr>
              <w:bidi w:val="0"/>
              <w:rPr>
                <w:rFonts w:hint="default" w:ascii="Times New Roman" w:hAnsi="Times New Roman" w:cs="Times New Roman"/>
              </w:rPr>
            </w:pPr>
            <w:r>
              <w:rPr>
                <w:rFonts w:hint="default" w:ascii="Times New Roman" w:hAnsi="Times New Roman" w:cs="Times New Roman"/>
              </w:rPr>
              <w:t>从</w:t>
            </w:r>
            <w:r>
              <w:rPr>
                <w:rFonts w:hint="default" w:ascii="Times New Roman" w:hAnsi="Times New Roman" w:cs="Times New Roman"/>
                <w:lang w:val="en-US" w:eastAsia="zh-CN"/>
              </w:rPr>
              <w:t>上述分析</w:t>
            </w:r>
            <w:r>
              <w:rPr>
                <w:rFonts w:hint="default" w:ascii="Times New Roman" w:hAnsi="Times New Roman" w:cs="Times New Roman"/>
              </w:rPr>
              <w:t>可以看出，项目产生的甲苯、二甲苯经过集气罩收集后经</w:t>
            </w:r>
            <w:r>
              <w:rPr>
                <w:rFonts w:hint="default" w:ascii="Times New Roman" w:hAnsi="Times New Roman" w:cs="Times New Roman"/>
                <w:lang w:val="en-US" w:eastAsia="zh-CN"/>
              </w:rPr>
              <w:t>二级</w:t>
            </w:r>
            <w:r>
              <w:rPr>
                <w:rFonts w:hint="default" w:ascii="Times New Roman" w:hAnsi="Times New Roman" w:cs="Times New Roman"/>
              </w:rPr>
              <w:t>活性炭吸附装置处理后，甲苯、二甲苯排放浓度及排放速率均能达到《大气污染物综合排放标准》（GB16297—1996）表2中二级标准限值，即二甲苯排放浓度≦70mg/m³</w:t>
            </w:r>
            <w:r>
              <w:rPr>
                <w:rFonts w:hint="default" w:ascii="Times New Roman" w:hAnsi="Times New Roman" w:cs="Times New Roman"/>
                <w:lang w:eastAsia="zh-CN"/>
              </w:rPr>
              <w:t>，</w:t>
            </w:r>
            <w:r>
              <w:rPr>
                <w:rFonts w:hint="default" w:ascii="Times New Roman" w:hAnsi="Times New Roman" w:cs="Times New Roman"/>
              </w:rPr>
              <w:t>排放速率≦0.5kg/h，甲苯排放浓度≦40mg/m³</w:t>
            </w:r>
            <w:r>
              <w:rPr>
                <w:rFonts w:hint="default" w:ascii="Times New Roman" w:hAnsi="Times New Roman" w:cs="Times New Roman"/>
                <w:lang w:eastAsia="zh-CN"/>
              </w:rPr>
              <w:t>，</w:t>
            </w:r>
            <w:r>
              <w:rPr>
                <w:rFonts w:hint="default" w:ascii="Times New Roman" w:hAnsi="Times New Roman" w:cs="Times New Roman"/>
              </w:rPr>
              <w:t>排放速率≦1.55kg/h（本项目排气筒未高出周围200m半径范围内的建筑物5m以上，排放速率标准严格50%执行。</w:t>
            </w:r>
          </w:p>
          <w:p>
            <w:pPr>
              <w:bidi w:val="0"/>
              <w:rPr>
                <w:rFonts w:hint="default" w:ascii="Times New Roman" w:hAnsi="Times New Roman" w:cs="Times New Roman"/>
                <w:b/>
                <w:bCs/>
              </w:rPr>
            </w:pPr>
            <w:r>
              <w:rPr>
                <w:rFonts w:hint="default" w:ascii="Times New Roman" w:hAnsi="Times New Roman" w:cs="Times New Roman"/>
                <w:b/>
                <w:bCs/>
              </w:rPr>
              <w:t>3、厨房油烟</w:t>
            </w:r>
          </w:p>
          <w:p>
            <w:pPr>
              <w:bidi w:val="0"/>
              <w:rPr>
                <w:rFonts w:hint="default" w:ascii="Times New Roman" w:hAnsi="Times New Roman" w:cs="Times New Roman"/>
              </w:rPr>
            </w:pPr>
            <w:r>
              <w:rPr>
                <w:rFonts w:hint="default" w:ascii="Times New Roman" w:hAnsi="Times New Roman" w:cs="Times New Roman"/>
              </w:rPr>
              <w:t>本项目职工食堂在食物烹饪、加工过程中会产生少量食堂油烟，项目食堂设置基准灶头1个，按GB18483-2001《饮食业油烟排放标准》中表1“饮食单位的规模划分”的规定属小型饮食业单位。</w:t>
            </w:r>
          </w:p>
          <w:p>
            <w:pPr>
              <w:bidi w:val="0"/>
              <w:rPr>
                <w:rFonts w:hint="default" w:ascii="Times New Roman" w:hAnsi="Times New Roman" w:cs="Times New Roman"/>
                <w:lang w:eastAsia="zh-CN"/>
              </w:rPr>
            </w:pPr>
            <w:r>
              <w:rPr>
                <w:rFonts w:hint="default" w:ascii="Times New Roman" w:hAnsi="Times New Roman" w:cs="Times New Roman"/>
              </w:rPr>
              <w:t>根据《餐饮油烟中挥发性有机物风险评估》（王秀艳，高爽等；环境科学研究，2012，25（12）:1359-1363）中相关调查，一般油烟挥发量占总耗油量的2～4%</w:t>
            </w:r>
            <w:r>
              <w:rPr>
                <w:rFonts w:hint="default" w:ascii="Times New Roman" w:hAnsi="Times New Roman" w:cs="Times New Roman"/>
                <w:lang w:eastAsia="zh-CN"/>
              </w:rPr>
              <w:t>，取值为2.8%。本项目职工食堂就餐人数约30人/天，每人每天耗食油量为30克，</w:t>
            </w:r>
          </w:p>
          <w:p>
            <w:pPr>
              <w:bidi w:val="0"/>
              <w:rPr>
                <w:rFonts w:hint="default" w:ascii="Times New Roman" w:hAnsi="Times New Roman" w:cs="Times New Roman"/>
                <w:lang w:eastAsia="zh-CN"/>
              </w:rPr>
            </w:pPr>
            <w:r>
              <w:rPr>
                <w:rFonts w:hint="default" w:ascii="Times New Roman" w:hAnsi="Times New Roman" w:cs="Times New Roman"/>
                <w:lang w:eastAsia="zh-CN"/>
              </w:rPr>
              <w:t>则消耗食用油0.9kg/d，则油烟产生量约为0.0252kg/d，0.00756t/a。</w:t>
            </w:r>
          </w:p>
          <w:p>
            <w:pPr>
              <w:bidi w:val="0"/>
              <w:rPr>
                <w:rFonts w:hint="default" w:ascii="Times New Roman" w:hAnsi="Times New Roman" w:cs="Times New Roman"/>
                <w:lang w:eastAsia="zh-CN"/>
              </w:rPr>
            </w:pPr>
            <w:r>
              <w:rPr>
                <w:rFonts w:hint="default" w:ascii="Times New Roman" w:hAnsi="Times New Roman" w:cs="Times New Roman"/>
                <w:lang w:eastAsia="zh-CN"/>
              </w:rPr>
              <w:t>本项目</w:t>
            </w:r>
            <w:r>
              <w:rPr>
                <w:rFonts w:hint="default" w:ascii="Times New Roman" w:hAnsi="Times New Roman" w:cs="Times New Roman"/>
                <w:lang w:val="en-US" w:eastAsia="zh-CN"/>
              </w:rPr>
              <w:t>已</w:t>
            </w:r>
            <w:r>
              <w:rPr>
                <w:rFonts w:hint="default" w:ascii="Times New Roman" w:hAnsi="Times New Roman" w:cs="Times New Roman"/>
                <w:lang w:eastAsia="zh-CN"/>
              </w:rPr>
              <w:t>在食堂内安装符合处理要求的油烟净化装置，根据净化装置参数表，要求油烟净化装置处理效率不低于60%，则油炸工序油烟经油烟净化装置处理后排放量为0.01512kg/d，0.00454t/a。项目区职工食堂为厂区职工提供1日3餐，油烟产生时间平均每天按4h计，净化器处理风量为2000m³/h，则油烟经净化处理后最高排放浓度为1.9mg/m³。项目厨房食堂油烟排放情况见表4-</w:t>
            </w:r>
            <w:r>
              <w:rPr>
                <w:rFonts w:hint="default" w:ascii="Times New Roman" w:hAnsi="Times New Roman" w:cs="Times New Roman"/>
                <w:lang w:val="en-US" w:eastAsia="zh-CN"/>
              </w:rPr>
              <w:t>4</w:t>
            </w:r>
            <w:r>
              <w:rPr>
                <w:rFonts w:hint="default" w:ascii="Times New Roman" w:hAnsi="Times New Roman" w:cs="Times New Roman"/>
                <w:lang w:eastAsia="zh-CN"/>
              </w:rPr>
              <w:t>。</w:t>
            </w:r>
          </w:p>
          <w:p>
            <w:pPr>
              <w:pStyle w:val="36"/>
              <w:bidi w:val="0"/>
              <w:rPr>
                <w:rFonts w:hint="default" w:ascii="Times New Roman" w:hAnsi="Times New Roman" w:cs="Times New Roman"/>
                <w:lang w:eastAsia="zh-CN"/>
              </w:rPr>
            </w:pPr>
            <w:r>
              <w:rPr>
                <w:rFonts w:hint="default" w:ascii="Times New Roman" w:hAnsi="Times New Roman" w:cs="Times New Roman"/>
                <w:lang w:eastAsia="zh-CN"/>
              </w:rPr>
              <w:t>表4-</w:t>
            </w:r>
            <w:r>
              <w:rPr>
                <w:rFonts w:hint="default" w:ascii="Times New Roman" w:hAnsi="Times New Roman" w:cs="Times New Roman"/>
                <w:lang w:val="en-US" w:eastAsia="zh-CN"/>
              </w:rPr>
              <w:t>4</w:t>
            </w:r>
            <w:r>
              <w:rPr>
                <w:rFonts w:hint="default" w:ascii="Times New Roman" w:hAnsi="Times New Roman" w:cs="Times New Roman"/>
                <w:lang w:eastAsia="zh-CN"/>
              </w:rPr>
              <w:t>厨房食堂油烟排放情况</w:t>
            </w:r>
          </w:p>
          <w:tbl>
            <w:tblPr>
              <w:tblStyle w:val="98"/>
              <w:tblW w:w="8516"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30"/>
              <w:gridCol w:w="1170"/>
              <w:gridCol w:w="1205"/>
              <w:gridCol w:w="1129"/>
              <w:gridCol w:w="796"/>
              <w:gridCol w:w="1010"/>
              <w:gridCol w:w="1183"/>
              <w:gridCol w:w="11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2" w:hRule="atLeast"/>
              </w:trPr>
              <w:tc>
                <w:tcPr>
                  <w:tcW w:w="830" w:type="dxa"/>
                  <w:vAlign w:val="top"/>
                </w:tcPr>
                <w:p>
                  <w:pPr>
                    <w:pStyle w:val="45"/>
                    <w:bidi w:val="0"/>
                    <w:rPr>
                      <w:rFonts w:hint="default" w:ascii="Times New Roman" w:hAnsi="Times New Roman" w:cs="Times New Roman"/>
                      <w:lang w:eastAsia="zh-CN"/>
                    </w:rPr>
                  </w:pPr>
                  <w:r>
                    <w:rPr>
                      <w:rFonts w:hint="default" w:ascii="Times New Roman" w:hAnsi="Times New Roman" w:cs="Times New Roman"/>
                      <w:lang w:eastAsia="zh-CN"/>
                    </w:rPr>
                    <w:t>污染</w:t>
                  </w:r>
                </w:p>
                <w:p>
                  <w:pPr>
                    <w:pStyle w:val="45"/>
                    <w:bidi w:val="0"/>
                    <w:rPr>
                      <w:rFonts w:hint="default" w:ascii="Times New Roman" w:hAnsi="Times New Roman" w:cs="Times New Roman"/>
                      <w:lang w:eastAsia="zh-CN"/>
                    </w:rPr>
                  </w:pPr>
                  <w:r>
                    <w:rPr>
                      <w:rFonts w:hint="default" w:ascii="Times New Roman" w:hAnsi="Times New Roman" w:cs="Times New Roman"/>
                      <w:lang w:eastAsia="zh-CN"/>
                    </w:rPr>
                    <w:t>源</w:t>
                  </w:r>
                </w:p>
              </w:tc>
              <w:tc>
                <w:tcPr>
                  <w:tcW w:w="1170" w:type="dxa"/>
                  <w:vAlign w:val="top"/>
                </w:tcPr>
                <w:p>
                  <w:pPr>
                    <w:pStyle w:val="45"/>
                    <w:bidi w:val="0"/>
                    <w:rPr>
                      <w:rFonts w:hint="default" w:ascii="Times New Roman" w:hAnsi="Times New Roman" w:cs="Times New Roman"/>
                      <w:lang w:eastAsia="zh-CN"/>
                    </w:rPr>
                  </w:pPr>
                  <w:r>
                    <w:rPr>
                      <w:rFonts w:hint="default" w:ascii="Times New Roman" w:hAnsi="Times New Roman" w:cs="Times New Roman"/>
                      <w:lang w:eastAsia="zh-CN"/>
                    </w:rPr>
                    <w:t>产生时间</w:t>
                  </w:r>
                </w:p>
              </w:tc>
              <w:tc>
                <w:tcPr>
                  <w:tcW w:w="1205" w:type="dxa"/>
                  <w:vAlign w:val="top"/>
                </w:tcPr>
                <w:p>
                  <w:pPr>
                    <w:pStyle w:val="45"/>
                    <w:bidi w:val="0"/>
                    <w:rPr>
                      <w:rFonts w:hint="default" w:ascii="Times New Roman" w:hAnsi="Times New Roman" w:cs="Times New Roman"/>
                      <w:lang w:eastAsia="zh-CN"/>
                    </w:rPr>
                  </w:pPr>
                  <w:r>
                    <w:rPr>
                      <w:rFonts w:hint="default" w:ascii="Times New Roman" w:hAnsi="Times New Roman" w:cs="Times New Roman"/>
                      <w:lang w:eastAsia="zh-CN"/>
                    </w:rPr>
                    <w:t>油烟产生量t/a</w:t>
                  </w:r>
                </w:p>
              </w:tc>
              <w:tc>
                <w:tcPr>
                  <w:tcW w:w="1129" w:type="dxa"/>
                  <w:vAlign w:val="top"/>
                </w:tcPr>
                <w:p>
                  <w:pPr>
                    <w:pStyle w:val="45"/>
                    <w:bidi w:val="0"/>
                    <w:rPr>
                      <w:rFonts w:hint="default" w:ascii="Times New Roman" w:hAnsi="Times New Roman" w:cs="Times New Roman"/>
                      <w:lang w:eastAsia="zh-CN"/>
                    </w:rPr>
                  </w:pPr>
                  <w:r>
                    <w:rPr>
                      <w:rFonts w:hint="default" w:ascii="Times New Roman" w:hAnsi="Times New Roman" w:cs="Times New Roman"/>
                      <w:lang w:eastAsia="zh-CN"/>
                    </w:rPr>
                    <w:t>油烟产生速率kg/h</w:t>
                  </w:r>
                </w:p>
              </w:tc>
              <w:tc>
                <w:tcPr>
                  <w:tcW w:w="796" w:type="dxa"/>
                  <w:vAlign w:val="top"/>
                </w:tcPr>
                <w:p>
                  <w:pPr>
                    <w:pStyle w:val="45"/>
                    <w:bidi w:val="0"/>
                    <w:rPr>
                      <w:rFonts w:hint="default" w:ascii="Times New Roman" w:hAnsi="Times New Roman" w:cs="Times New Roman"/>
                      <w:lang w:eastAsia="zh-CN"/>
                    </w:rPr>
                  </w:pPr>
                  <w:r>
                    <w:rPr>
                      <w:rFonts w:hint="default" w:ascii="Times New Roman" w:hAnsi="Times New Roman" w:cs="Times New Roman"/>
                      <w:lang w:eastAsia="zh-CN"/>
                    </w:rPr>
                    <w:t>净化</w:t>
                  </w:r>
                </w:p>
                <w:p>
                  <w:pPr>
                    <w:pStyle w:val="45"/>
                    <w:bidi w:val="0"/>
                    <w:rPr>
                      <w:rFonts w:hint="default" w:ascii="Times New Roman" w:hAnsi="Times New Roman" w:cs="Times New Roman"/>
                      <w:lang w:eastAsia="zh-CN"/>
                    </w:rPr>
                  </w:pPr>
                  <w:r>
                    <w:rPr>
                      <w:rFonts w:hint="default" w:ascii="Times New Roman" w:hAnsi="Times New Roman" w:cs="Times New Roman"/>
                      <w:lang w:eastAsia="zh-CN"/>
                    </w:rPr>
                    <w:t>效率</w:t>
                  </w:r>
                </w:p>
              </w:tc>
              <w:tc>
                <w:tcPr>
                  <w:tcW w:w="1010" w:type="dxa"/>
                  <w:vAlign w:val="top"/>
                </w:tcPr>
                <w:p>
                  <w:pPr>
                    <w:pStyle w:val="45"/>
                    <w:bidi w:val="0"/>
                    <w:rPr>
                      <w:rFonts w:hint="default" w:ascii="Times New Roman" w:hAnsi="Times New Roman" w:cs="Times New Roman"/>
                      <w:lang w:eastAsia="zh-CN"/>
                    </w:rPr>
                  </w:pPr>
                  <w:r>
                    <w:rPr>
                      <w:rFonts w:hint="default" w:ascii="Times New Roman" w:hAnsi="Times New Roman" w:cs="Times New Roman"/>
                      <w:lang w:eastAsia="zh-CN"/>
                    </w:rPr>
                    <w:t>排放量t/a</w:t>
                  </w:r>
                </w:p>
              </w:tc>
              <w:tc>
                <w:tcPr>
                  <w:tcW w:w="1183" w:type="dxa"/>
                  <w:vAlign w:val="top"/>
                </w:tcPr>
                <w:p>
                  <w:pPr>
                    <w:pStyle w:val="45"/>
                    <w:bidi w:val="0"/>
                    <w:rPr>
                      <w:rFonts w:hint="default" w:ascii="Times New Roman" w:hAnsi="Times New Roman" w:cs="Times New Roman"/>
                      <w:lang w:eastAsia="zh-CN"/>
                    </w:rPr>
                  </w:pPr>
                  <w:r>
                    <w:rPr>
                      <w:rFonts w:hint="default" w:ascii="Times New Roman" w:hAnsi="Times New Roman" w:cs="Times New Roman"/>
                      <w:lang w:eastAsia="zh-CN"/>
                    </w:rPr>
                    <w:t>排放浓度mg/m³</w:t>
                  </w:r>
                </w:p>
              </w:tc>
              <w:tc>
                <w:tcPr>
                  <w:tcW w:w="1193" w:type="dxa"/>
                  <w:vAlign w:val="top"/>
                </w:tcPr>
                <w:p>
                  <w:pPr>
                    <w:pStyle w:val="45"/>
                    <w:bidi w:val="0"/>
                    <w:rPr>
                      <w:rFonts w:hint="default" w:ascii="Times New Roman" w:hAnsi="Times New Roman" w:cs="Times New Roman"/>
                      <w:lang w:eastAsia="zh-CN"/>
                    </w:rPr>
                  </w:pPr>
                  <w:r>
                    <w:rPr>
                      <w:rFonts w:hint="default" w:ascii="Times New Roman" w:hAnsi="Times New Roman" w:cs="Times New Roman"/>
                      <w:lang w:eastAsia="zh-CN"/>
                    </w:rPr>
                    <w:t>排放速率kg/h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30" w:type="dxa"/>
                  <w:vAlign w:val="top"/>
                </w:tcPr>
                <w:p>
                  <w:pPr>
                    <w:pStyle w:val="45"/>
                    <w:bidi w:val="0"/>
                    <w:rPr>
                      <w:rFonts w:hint="default" w:ascii="Times New Roman" w:hAnsi="Times New Roman" w:cs="Times New Roman"/>
                      <w:lang w:eastAsia="zh-CN"/>
                    </w:rPr>
                  </w:pPr>
                  <w:r>
                    <w:rPr>
                      <w:rFonts w:hint="default" w:ascii="Times New Roman" w:hAnsi="Times New Roman" w:cs="Times New Roman"/>
                      <w:lang w:eastAsia="zh-CN"/>
                    </w:rPr>
                    <w:t>厨房</w:t>
                  </w:r>
                </w:p>
              </w:tc>
              <w:tc>
                <w:tcPr>
                  <w:tcW w:w="1170" w:type="dxa"/>
                  <w:vAlign w:val="top"/>
                </w:tcPr>
                <w:p>
                  <w:pPr>
                    <w:pStyle w:val="45"/>
                    <w:bidi w:val="0"/>
                    <w:rPr>
                      <w:rFonts w:hint="default" w:ascii="Times New Roman" w:hAnsi="Times New Roman" w:cs="Times New Roman"/>
                      <w:lang w:eastAsia="zh-CN"/>
                    </w:rPr>
                  </w:pPr>
                  <w:r>
                    <w:rPr>
                      <w:rFonts w:hint="default" w:ascii="Times New Roman" w:hAnsi="Times New Roman" w:cs="Times New Roman"/>
                      <w:lang w:eastAsia="zh-CN"/>
                    </w:rPr>
                    <w:t>4h/a</w:t>
                  </w:r>
                </w:p>
              </w:tc>
              <w:tc>
                <w:tcPr>
                  <w:tcW w:w="1205" w:type="dxa"/>
                  <w:vAlign w:val="top"/>
                </w:tcPr>
                <w:p>
                  <w:pPr>
                    <w:pStyle w:val="45"/>
                    <w:bidi w:val="0"/>
                    <w:rPr>
                      <w:rFonts w:hint="default" w:ascii="Times New Roman" w:hAnsi="Times New Roman" w:cs="Times New Roman"/>
                      <w:lang w:eastAsia="zh-CN"/>
                    </w:rPr>
                  </w:pPr>
                  <w:r>
                    <w:rPr>
                      <w:rFonts w:hint="default" w:ascii="Times New Roman" w:hAnsi="Times New Roman" w:cs="Times New Roman"/>
                      <w:lang w:eastAsia="zh-CN"/>
                    </w:rPr>
                    <w:t>0.00756</w:t>
                  </w:r>
                </w:p>
              </w:tc>
              <w:tc>
                <w:tcPr>
                  <w:tcW w:w="1129" w:type="dxa"/>
                  <w:vAlign w:val="top"/>
                </w:tcPr>
                <w:p>
                  <w:pPr>
                    <w:pStyle w:val="45"/>
                    <w:bidi w:val="0"/>
                    <w:rPr>
                      <w:rFonts w:hint="default" w:ascii="Times New Roman" w:hAnsi="Times New Roman" w:cs="Times New Roman"/>
                      <w:lang w:eastAsia="zh-CN"/>
                    </w:rPr>
                  </w:pPr>
                  <w:r>
                    <w:rPr>
                      <w:rFonts w:hint="default" w:ascii="Times New Roman" w:hAnsi="Times New Roman" w:cs="Times New Roman"/>
                      <w:lang w:eastAsia="zh-CN"/>
                    </w:rPr>
                    <w:t>0.0063</w:t>
                  </w:r>
                </w:p>
              </w:tc>
              <w:tc>
                <w:tcPr>
                  <w:tcW w:w="796" w:type="dxa"/>
                  <w:vAlign w:val="top"/>
                </w:tcPr>
                <w:p>
                  <w:pPr>
                    <w:pStyle w:val="45"/>
                    <w:bidi w:val="0"/>
                    <w:rPr>
                      <w:rFonts w:hint="default" w:ascii="Times New Roman" w:hAnsi="Times New Roman" w:cs="Times New Roman"/>
                      <w:lang w:eastAsia="zh-CN"/>
                    </w:rPr>
                  </w:pPr>
                  <w:r>
                    <w:rPr>
                      <w:rFonts w:hint="default" w:ascii="Times New Roman" w:hAnsi="Times New Roman" w:cs="Times New Roman"/>
                      <w:lang w:eastAsia="zh-CN"/>
                    </w:rPr>
                    <w:t>60%</w:t>
                  </w:r>
                </w:p>
              </w:tc>
              <w:tc>
                <w:tcPr>
                  <w:tcW w:w="1010" w:type="dxa"/>
                  <w:vAlign w:val="top"/>
                </w:tcPr>
                <w:p>
                  <w:pPr>
                    <w:pStyle w:val="45"/>
                    <w:bidi w:val="0"/>
                    <w:rPr>
                      <w:rFonts w:hint="default" w:ascii="Times New Roman" w:hAnsi="Times New Roman" w:cs="Times New Roman"/>
                      <w:lang w:eastAsia="zh-CN"/>
                    </w:rPr>
                  </w:pPr>
                  <w:r>
                    <w:rPr>
                      <w:rFonts w:hint="default" w:ascii="Times New Roman" w:hAnsi="Times New Roman" w:cs="Times New Roman"/>
                      <w:lang w:eastAsia="zh-CN"/>
                    </w:rPr>
                    <w:t>0.00454</w:t>
                  </w:r>
                </w:p>
              </w:tc>
              <w:tc>
                <w:tcPr>
                  <w:tcW w:w="1183" w:type="dxa"/>
                  <w:vAlign w:val="top"/>
                </w:tcPr>
                <w:p>
                  <w:pPr>
                    <w:pStyle w:val="45"/>
                    <w:bidi w:val="0"/>
                    <w:rPr>
                      <w:rFonts w:hint="default" w:ascii="Times New Roman" w:hAnsi="Times New Roman" w:cs="Times New Roman"/>
                      <w:lang w:eastAsia="zh-CN"/>
                    </w:rPr>
                  </w:pPr>
                  <w:r>
                    <w:rPr>
                      <w:rFonts w:hint="default" w:ascii="Times New Roman" w:hAnsi="Times New Roman" w:cs="Times New Roman"/>
                      <w:lang w:eastAsia="zh-CN"/>
                    </w:rPr>
                    <w:t>1.9</w:t>
                  </w:r>
                </w:p>
              </w:tc>
              <w:tc>
                <w:tcPr>
                  <w:tcW w:w="1193" w:type="dxa"/>
                  <w:vAlign w:val="top"/>
                </w:tcPr>
                <w:p>
                  <w:pPr>
                    <w:pStyle w:val="45"/>
                    <w:bidi w:val="0"/>
                    <w:rPr>
                      <w:rFonts w:hint="default" w:ascii="Times New Roman" w:hAnsi="Times New Roman" w:cs="Times New Roman"/>
                      <w:lang w:eastAsia="zh-CN"/>
                    </w:rPr>
                  </w:pPr>
                  <w:r>
                    <w:rPr>
                      <w:rFonts w:hint="default" w:ascii="Times New Roman" w:hAnsi="Times New Roman" w:cs="Times New Roman"/>
                      <w:lang w:eastAsia="zh-CN"/>
                    </w:rPr>
                    <w:t>0.0038</w:t>
                  </w:r>
                </w:p>
              </w:tc>
            </w:tr>
          </w:tbl>
          <w:p>
            <w:pPr>
              <w:bidi w:val="0"/>
              <w:rPr>
                <w:rFonts w:hint="default" w:ascii="Times New Roman" w:hAnsi="Times New Roman" w:cs="Times New Roman"/>
                <w:lang w:eastAsia="zh-CN"/>
              </w:rPr>
            </w:pPr>
            <w:r>
              <w:rPr>
                <w:rFonts w:hint="default" w:ascii="Times New Roman" w:hAnsi="Times New Roman" w:cs="Times New Roman"/>
                <w:lang w:eastAsia="zh-CN"/>
              </w:rPr>
              <w:t>食堂油烟通过油烟净化装置处理后，油烟能够满足GB18483-2001《饮食业油烟排放标准》中的小型标准，即净化效率≧60%，排放浓度≦2mg//m³。</w:t>
            </w:r>
          </w:p>
          <w:p>
            <w:pPr>
              <w:bidi w:val="0"/>
              <w:rPr>
                <w:rFonts w:hint="default" w:ascii="Times New Roman" w:hAnsi="Times New Roman" w:cs="Times New Roman"/>
                <w:b/>
                <w:bCs/>
              </w:rPr>
            </w:pPr>
            <w:r>
              <w:rPr>
                <w:rFonts w:hint="default" w:ascii="Times New Roman" w:hAnsi="Times New Roman" w:cs="Times New Roman"/>
                <w:b/>
                <w:bCs/>
                <w:lang w:val="en-US" w:eastAsia="zh-CN"/>
              </w:rPr>
              <w:t>4</w:t>
            </w:r>
            <w:r>
              <w:rPr>
                <w:rFonts w:hint="default" w:ascii="Times New Roman" w:hAnsi="Times New Roman" w:cs="Times New Roman"/>
                <w:b/>
                <w:bCs/>
              </w:rPr>
              <w:t>、排放废气达标分析</w:t>
            </w:r>
          </w:p>
          <w:p>
            <w:pPr>
              <w:bidi w:val="0"/>
              <w:rPr>
                <w:rFonts w:hint="default" w:ascii="Times New Roman" w:hAnsi="Times New Roman" w:cs="Times New Roman"/>
                <w:b/>
                <w:bCs/>
              </w:rPr>
            </w:pPr>
            <w:r>
              <w:rPr>
                <w:rFonts w:hint="default" w:ascii="Times New Roman" w:hAnsi="Times New Roman" w:cs="Times New Roman"/>
                <w:b/>
                <w:bCs/>
              </w:rPr>
              <w:t>①本项目DA001排气筒排放的非甲烷总烃、甲苯、二甲苯的浓度以及排放速率：</w:t>
            </w:r>
          </w:p>
          <w:p>
            <w:pPr>
              <w:bidi w:val="0"/>
              <w:rPr>
                <w:rFonts w:hint="default" w:ascii="Times New Roman" w:hAnsi="Times New Roman" w:cs="Times New Roman"/>
              </w:rPr>
            </w:pPr>
            <w:r>
              <w:rPr>
                <w:rFonts w:hint="default" w:ascii="Times New Roman" w:hAnsi="Times New Roman" w:cs="Times New Roman"/>
              </w:rPr>
              <w:t>本项目中空玻璃密封过程产生的挥发性有机物（以非甲烷总烃计）、甲苯、二甲苯经过集气罩收集后通过一套</w:t>
            </w:r>
            <w:r>
              <w:rPr>
                <w:rFonts w:hint="default" w:ascii="Times New Roman" w:hAnsi="Times New Roman" w:cs="Times New Roman"/>
                <w:lang w:val="en-US" w:eastAsia="zh-CN"/>
              </w:rPr>
              <w:t>二级</w:t>
            </w:r>
            <w:r>
              <w:rPr>
                <w:rFonts w:hint="default" w:ascii="Times New Roman" w:hAnsi="Times New Roman" w:cs="Times New Roman"/>
              </w:rPr>
              <w:t>活性炭吸附装置处理后由15m高排气筒（DA001）排放。即非甲烷总烃排放浓度</w:t>
            </w:r>
            <w:r>
              <w:rPr>
                <w:rFonts w:hint="default" w:ascii="Times New Roman" w:hAnsi="Times New Roman" w:cs="Times New Roman"/>
                <w:bCs/>
                <w:color w:val="auto"/>
                <w:szCs w:val="18"/>
                <w:lang w:val="en-US" w:eastAsia="zh-CN"/>
              </w:rPr>
              <w:t>30.4</w:t>
            </w:r>
            <w:r>
              <w:rPr>
                <w:rFonts w:hint="default" w:ascii="Times New Roman" w:hAnsi="Times New Roman" w:cs="Times New Roman"/>
              </w:rPr>
              <w:t>mg/m³</w:t>
            </w:r>
            <w:r>
              <w:rPr>
                <w:rFonts w:hint="default" w:ascii="Times New Roman" w:hAnsi="Times New Roman" w:cs="Times New Roman"/>
                <w:lang w:eastAsia="zh-CN"/>
              </w:rPr>
              <w:t>，</w:t>
            </w:r>
            <w:r>
              <w:rPr>
                <w:rFonts w:hint="default" w:ascii="Times New Roman" w:hAnsi="Times New Roman" w:cs="Times New Roman"/>
              </w:rPr>
              <w:t>排放速率</w:t>
            </w:r>
            <w:r>
              <w:rPr>
                <w:rFonts w:hint="default" w:ascii="Times New Roman" w:hAnsi="Times New Roman" w:cs="Times New Roman"/>
                <w:lang w:val="en-US" w:eastAsia="zh-CN"/>
              </w:rPr>
              <w:t>0.76</w:t>
            </w:r>
            <w:r>
              <w:rPr>
                <w:rFonts w:hint="default" w:ascii="Times New Roman" w:hAnsi="Times New Roman" w:cs="Times New Roman"/>
              </w:rPr>
              <w:t>kg/h，二甲苯排放浓度</w:t>
            </w:r>
            <w:r>
              <w:rPr>
                <w:rFonts w:hint="default" w:ascii="Times New Roman" w:hAnsi="Times New Roman" w:cs="Times New Roman"/>
                <w:lang w:val="en-US" w:eastAsia="zh-CN"/>
              </w:rPr>
              <w:t>1.5</w:t>
            </w:r>
            <w:r>
              <w:rPr>
                <w:rFonts w:hint="default" w:ascii="Times New Roman" w:hAnsi="Times New Roman" w:cs="Times New Roman"/>
              </w:rPr>
              <w:t>mg/m³</w:t>
            </w:r>
            <w:r>
              <w:rPr>
                <w:rFonts w:hint="default" w:ascii="Times New Roman" w:hAnsi="Times New Roman" w:cs="Times New Roman"/>
                <w:lang w:eastAsia="zh-CN"/>
              </w:rPr>
              <w:t>，</w:t>
            </w:r>
            <w:r>
              <w:rPr>
                <w:rFonts w:hint="default" w:ascii="Times New Roman" w:hAnsi="Times New Roman" w:cs="Times New Roman"/>
              </w:rPr>
              <w:t>排放速率0.0</w:t>
            </w:r>
            <w:r>
              <w:rPr>
                <w:rFonts w:hint="default" w:ascii="Times New Roman" w:hAnsi="Times New Roman" w:cs="Times New Roman"/>
                <w:lang w:val="en-US" w:eastAsia="zh-CN"/>
              </w:rPr>
              <w:t>375</w:t>
            </w:r>
            <w:r>
              <w:rPr>
                <w:rFonts w:hint="default" w:ascii="Times New Roman" w:hAnsi="Times New Roman" w:cs="Times New Roman"/>
              </w:rPr>
              <w:t>kg/h，排放浓度</w:t>
            </w:r>
            <w:r>
              <w:rPr>
                <w:rFonts w:hint="default" w:ascii="Times New Roman" w:hAnsi="Times New Roman" w:cs="Times New Roman"/>
                <w:lang w:val="en-US" w:eastAsia="zh-CN"/>
              </w:rPr>
              <w:t>1.5</w:t>
            </w:r>
            <w:r>
              <w:rPr>
                <w:rFonts w:hint="default" w:ascii="Times New Roman" w:hAnsi="Times New Roman" w:cs="Times New Roman"/>
              </w:rPr>
              <w:t>mg/m³</w:t>
            </w:r>
            <w:r>
              <w:rPr>
                <w:rFonts w:hint="default" w:ascii="Times New Roman" w:hAnsi="Times New Roman" w:cs="Times New Roman"/>
                <w:lang w:eastAsia="zh-CN"/>
              </w:rPr>
              <w:t>，</w:t>
            </w:r>
            <w:r>
              <w:rPr>
                <w:rFonts w:hint="default" w:ascii="Times New Roman" w:hAnsi="Times New Roman" w:cs="Times New Roman"/>
              </w:rPr>
              <w:t>排放速率0.0</w:t>
            </w:r>
            <w:r>
              <w:rPr>
                <w:rFonts w:hint="default" w:ascii="Times New Roman" w:hAnsi="Times New Roman" w:cs="Times New Roman"/>
                <w:lang w:val="en-US" w:eastAsia="zh-CN"/>
              </w:rPr>
              <w:t>375</w:t>
            </w:r>
            <w:r>
              <w:rPr>
                <w:rFonts w:hint="default" w:ascii="Times New Roman" w:hAnsi="Times New Roman" w:cs="Times New Roman"/>
              </w:rPr>
              <w:t>kg/h。</w:t>
            </w:r>
          </w:p>
          <w:p>
            <w:pPr>
              <w:bidi w:val="0"/>
              <w:rPr>
                <w:rFonts w:hint="default" w:ascii="Times New Roman" w:hAnsi="Times New Roman" w:cs="Times New Roman"/>
              </w:rPr>
            </w:pPr>
            <w:r>
              <w:rPr>
                <w:rFonts w:hint="default" w:ascii="Times New Roman" w:hAnsi="Times New Roman" w:cs="Times New Roman"/>
              </w:rPr>
              <w:t>本项目DA001排气筒所产生废气的浓度以及排放速率可以达到《大气污染物综合排放标准》（GB16297-1996）表2限值二级排放限值。即非甲烷总烃排放浓度≦120mg/m³</w:t>
            </w:r>
            <w:r>
              <w:rPr>
                <w:rFonts w:hint="default" w:ascii="Times New Roman" w:hAnsi="Times New Roman" w:cs="Times New Roman"/>
                <w:lang w:eastAsia="zh-CN"/>
              </w:rPr>
              <w:t>，</w:t>
            </w:r>
            <w:r>
              <w:rPr>
                <w:rFonts w:hint="default" w:ascii="Times New Roman" w:hAnsi="Times New Roman" w:cs="Times New Roman"/>
              </w:rPr>
              <w:t>排放速率≦5kg/h，二甲苯排放浓度≦70mg/m³</w:t>
            </w:r>
            <w:r>
              <w:rPr>
                <w:rFonts w:hint="default" w:ascii="Times New Roman" w:hAnsi="Times New Roman" w:cs="Times New Roman"/>
                <w:lang w:eastAsia="zh-CN"/>
              </w:rPr>
              <w:t>，</w:t>
            </w:r>
            <w:r>
              <w:rPr>
                <w:rFonts w:hint="default" w:ascii="Times New Roman" w:hAnsi="Times New Roman" w:cs="Times New Roman"/>
              </w:rPr>
              <w:t>排放速率≦0.5kg/h，甲苯排放浓度≦40mg/m³</w:t>
            </w:r>
            <w:r>
              <w:rPr>
                <w:rFonts w:hint="default" w:ascii="Times New Roman" w:hAnsi="Times New Roman" w:cs="Times New Roman"/>
                <w:lang w:eastAsia="zh-CN"/>
              </w:rPr>
              <w:t>，</w:t>
            </w:r>
            <w:r>
              <w:rPr>
                <w:rFonts w:hint="default" w:ascii="Times New Roman" w:hAnsi="Times New Roman" w:cs="Times New Roman"/>
              </w:rPr>
              <w:t>排放速率≦1.55kg/h。</w:t>
            </w:r>
          </w:p>
          <w:p>
            <w:pPr>
              <w:bidi w:val="0"/>
              <w:rPr>
                <w:rFonts w:hint="default" w:ascii="Times New Roman" w:hAnsi="Times New Roman" w:cs="Times New Roman"/>
                <w:b/>
                <w:bCs/>
              </w:rPr>
            </w:pPr>
            <w:r>
              <w:rPr>
                <w:rFonts w:hint="default" w:ascii="Times New Roman" w:hAnsi="Times New Roman" w:cs="Times New Roman"/>
                <w:b/>
                <w:bCs/>
              </w:rPr>
              <w:t>②厂界无组织的排放浓度（集气罩未收集到的非甲烷总烃、甲苯、二甲苯。）</w:t>
            </w:r>
          </w:p>
          <w:p>
            <w:pPr>
              <w:pStyle w:val="18"/>
              <w:adjustRightInd w:val="0"/>
              <w:ind w:firstLine="480" w:firstLineChars="200"/>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本项目无组织废气主要为</w:t>
            </w:r>
            <w:r>
              <w:rPr>
                <w:rFonts w:hint="default" w:ascii="Times New Roman" w:hAnsi="Times New Roman" w:cs="Times New Roman"/>
                <w:bCs/>
                <w:color w:val="auto"/>
                <w:sz w:val="24"/>
                <w:szCs w:val="24"/>
                <w:lang w:val="en-US" w:eastAsia="zh-CN"/>
              </w:rPr>
              <w:t>甲苯、二甲苯</w:t>
            </w:r>
            <w:r>
              <w:rPr>
                <w:rFonts w:hint="default" w:ascii="Times New Roman" w:hAnsi="Times New Roman" w:cs="Times New Roman"/>
                <w:bCs/>
                <w:color w:val="auto"/>
                <w:sz w:val="24"/>
                <w:szCs w:val="24"/>
              </w:rPr>
              <w:t>和</w:t>
            </w:r>
            <w:r>
              <w:rPr>
                <w:rFonts w:hint="default" w:ascii="Times New Roman" w:hAnsi="Times New Roman" w:cs="Times New Roman"/>
                <w:color w:val="auto"/>
                <w:sz w:val="24"/>
                <w:szCs w:val="24"/>
              </w:rPr>
              <w:t>挥发性有机物（以非甲烷总烃计）</w:t>
            </w:r>
            <w:r>
              <w:rPr>
                <w:rFonts w:hint="default" w:ascii="Times New Roman" w:hAnsi="Times New Roman" w:cs="Times New Roman"/>
                <w:bCs/>
                <w:color w:val="auto"/>
                <w:sz w:val="24"/>
                <w:szCs w:val="24"/>
              </w:rPr>
              <w:t>，排放执行</w:t>
            </w:r>
            <w:r>
              <w:rPr>
                <w:rFonts w:hint="default" w:ascii="Times New Roman" w:hAnsi="Times New Roman" w:cs="Times New Roman"/>
                <w:color w:val="auto"/>
                <w:sz w:val="24"/>
                <w:szCs w:val="24"/>
              </w:rPr>
              <w:t>《大气污染物综合排放标准》（GB16297-1996）</w:t>
            </w:r>
            <w:r>
              <w:rPr>
                <w:rFonts w:hint="default" w:ascii="Times New Roman" w:hAnsi="Times New Roman" w:cs="Times New Roman"/>
                <w:color w:val="auto"/>
                <w:sz w:val="24"/>
              </w:rPr>
              <w:t>表2中无组织排放标准限值要求和《挥发性有机物无组织排放控制标准》（GB37822-2019）中相关要求。</w:t>
            </w:r>
          </w:p>
          <w:p>
            <w:pPr>
              <w:pStyle w:val="18"/>
              <w:adjustRightInd w:val="0"/>
              <w:ind w:firstLine="480" w:firstLineChars="200"/>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项目使用</w:t>
            </w:r>
            <w:r>
              <w:rPr>
                <w:rFonts w:hint="default" w:ascii="Times New Roman" w:hAnsi="Times New Roman" w:cs="Times New Roman"/>
                <w:bCs/>
                <w:color w:val="auto"/>
                <w:sz w:val="24"/>
                <w:szCs w:val="24"/>
                <w:lang w:val="en-US" w:eastAsia="zh-CN"/>
              </w:rPr>
              <w:t>封胶过程</w:t>
            </w:r>
            <w:r>
              <w:rPr>
                <w:rFonts w:hint="default" w:ascii="Times New Roman" w:hAnsi="Times New Roman" w:cs="Times New Roman"/>
                <w:bCs/>
                <w:color w:val="auto"/>
                <w:sz w:val="24"/>
                <w:szCs w:val="24"/>
              </w:rPr>
              <w:t>产生的废气设置了末端治理设施，符合</w:t>
            </w:r>
            <w:r>
              <w:rPr>
                <w:rFonts w:hint="default" w:ascii="Times New Roman" w:hAnsi="Times New Roman" w:cs="Times New Roman"/>
                <w:color w:val="auto"/>
                <w:sz w:val="24"/>
              </w:rPr>
              <w:t>《挥发性有机物无组织排放控制标准》（GB37822-2019）中对VOCs物料“储存、使用”的要求。</w:t>
            </w:r>
          </w:p>
          <w:p>
            <w:pPr>
              <w:pStyle w:val="18"/>
              <w:adjustRightInd w:val="0"/>
              <w:ind w:firstLine="480" w:firstLineChars="200"/>
              <w:jc w:val="both"/>
              <w:rPr>
                <w:rFonts w:hint="default" w:ascii="Times New Roman" w:hAnsi="Times New Roman" w:cs="Times New Roman"/>
                <w:color w:val="auto"/>
                <w:sz w:val="24"/>
                <w:highlight w:val="green"/>
              </w:rPr>
            </w:pPr>
            <w:r>
              <w:rPr>
                <w:rFonts w:hint="default" w:ascii="Times New Roman" w:hAnsi="Times New Roman" w:cs="Times New Roman"/>
                <w:bCs/>
                <w:color w:val="auto"/>
                <w:sz w:val="24"/>
                <w:szCs w:val="24"/>
              </w:rPr>
              <w:t>根据以上核算结果，项目无组织</w:t>
            </w:r>
            <w:r>
              <w:rPr>
                <w:rFonts w:hint="default" w:ascii="Times New Roman" w:hAnsi="Times New Roman" w:cs="Times New Roman"/>
                <w:bCs/>
                <w:color w:val="auto"/>
                <w:sz w:val="24"/>
                <w:szCs w:val="24"/>
                <w:lang w:val="en-US" w:eastAsia="zh-CN"/>
              </w:rPr>
              <w:t>甲苯</w:t>
            </w:r>
            <w:r>
              <w:rPr>
                <w:rFonts w:hint="default" w:ascii="Times New Roman" w:hAnsi="Times New Roman" w:cs="Times New Roman"/>
                <w:bCs/>
                <w:color w:val="auto"/>
                <w:sz w:val="24"/>
                <w:szCs w:val="24"/>
              </w:rPr>
              <w:t>最大排放速率为</w:t>
            </w:r>
            <w:r>
              <w:rPr>
                <w:rFonts w:hint="default" w:ascii="Times New Roman" w:hAnsi="Times New Roman" w:cs="Times New Roman"/>
                <w:bCs/>
                <w:color w:val="auto"/>
                <w:sz w:val="24"/>
                <w:szCs w:val="24"/>
                <w:lang w:val="en-US" w:eastAsia="zh-CN"/>
              </w:rPr>
              <w:t>0.0375</w:t>
            </w:r>
            <w:r>
              <w:rPr>
                <w:rFonts w:hint="default" w:ascii="Times New Roman" w:hAnsi="Times New Roman" w:cs="Times New Roman"/>
                <w:bCs/>
                <w:color w:val="auto"/>
                <w:sz w:val="24"/>
                <w:szCs w:val="24"/>
              </w:rPr>
              <w:t>kg/h，项目无组织</w:t>
            </w:r>
            <w:r>
              <w:rPr>
                <w:rFonts w:hint="default" w:ascii="Times New Roman" w:hAnsi="Times New Roman" w:cs="Times New Roman"/>
                <w:bCs/>
                <w:color w:val="auto"/>
                <w:sz w:val="24"/>
                <w:szCs w:val="24"/>
                <w:lang w:val="en-US" w:eastAsia="zh-CN"/>
              </w:rPr>
              <w:t>甲苯</w:t>
            </w:r>
            <w:r>
              <w:rPr>
                <w:rFonts w:hint="default" w:ascii="Times New Roman" w:hAnsi="Times New Roman" w:cs="Times New Roman"/>
                <w:bCs/>
                <w:color w:val="auto"/>
                <w:sz w:val="24"/>
                <w:szCs w:val="24"/>
              </w:rPr>
              <w:t>最大排放速率为</w:t>
            </w:r>
            <w:r>
              <w:rPr>
                <w:rFonts w:hint="default" w:ascii="Times New Roman" w:hAnsi="Times New Roman" w:cs="Times New Roman"/>
                <w:bCs/>
                <w:color w:val="auto"/>
                <w:sz w:val="24"/>
                <w:szCs w:val="24"/>
                <w:lang w:val="en-US" w:eastAsia="zh-CN"/>
              </w:rPr>
              <w:t>0.0375</w:t>
            </w:r>
            <w:r>
              <w:rPr>
                <w:rFonts w:hint="default" w:ascii="Times New Roman" w:hAnsi="Times New Roman" w:cs="Times New Roman"/>
                <w:bCs/>
                <w:color w:val="auto"/>
                <w:sz w:val="24"/>
                <w:szCs w:val="24"/>
              </w:rPr>
              <w:t>kg/h</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无组织</w:t>
            </w:r>
            <w:r>
              <w:rPr>
                <w:rFonts w:hint="default" w:ascii="Times New Roman" w:hAnsi="Times New Roman" w:cs="Times New Roman"/>
                <w:color w:val="auto"/>
                <w:sz w:val="24"/>
                <w:szCs w:val="24"/>
              </w:rPr>
              <w:t>挥发性有机物（以非甲烷总烃计）</w:t>
            </w:r>
            <w:r>
              <w:rPr>
                <w:rFonts w:hint="default" w:ascii="Times New Roman" w:hAnsi="Times New Roman" w:cs="Times New Roman"/>
                <w:bCs/>
                <w:color w:val="auto"/>
                <w:sz w:val="24"/>
                <w:szCs w:val="24"/>
              </w:rPr>
              <w:t>排放速率为</w:t>
            </w:r>
            <w:r>
              <w:rPr>
                <w:rFonts w:hint="default" w:ascii="Times New Roman" w:hAnsi="Times New Roman" w:cs="Times New Roman"/>
                <w:bCs/>
                <w:color w:val="auto"/>
                <w:sz w:val="24"/>
                <w:szCs w:val="24"/>
                <w:lang w:val="en-US" w:eastAsia="zh-CN"/>
              </w:rPr>
              <w:t>0.76</w:t>
            </w:r>
            <w:r>
              <w:rPr>
                <w:rFonts w:hint="default" w:ascii="Times New Roman" w:hAnsi="Times New Roman" w:cs="Times New Roman"/>
                <w:bCs/>
                <w:color w:val="auto"/>
                <w:sz w:val="24"/>
                <w:szCs w:val="24"/>
              </w:rPr>
              <w:t>kg/h，在车间内经空气稀释扩散后外排，车间进出口日常均保持敞开，车间内空气是保持流动的，污染物扩散后不会一直聚集。</w:t>
            </w:r>
          </w:p>
          <w:p>
            <w:pPr>
              <w:pStyle w:val="36"/>
              <w:bidi w:val="0"/>
              <w:rPr>
                <w:rFonts w:hint="default" w:ascii="Times New Roman" w:hAnsi="Times New Roman" w:cs="Times New Roman"/>
              </w:rPr>
            </w:pPr>
            <w:r>
              <w:rPr>
                <w:rFonts w:hint="default" w:ascii="Times New Roman" w:hAnsi="Times New Roman" w:cs="Times New Roman"/>
              </w:rPr>
              <w:t>表4-</w:t>
            </w:r>
            <w:r>
              <w:rPr>
                <w:rFonts w:hint="default" w:ascii="Times New Roman" w:hAnsi="Times New Roman" w:cs="Times New Roman"/>
                <w:lang w:val="en-US" w:eastAsia="zh-CN"/>
              </w:rPr>
              <w:t>5</w:t>
            </w:r>
            <w:r>
              <w:rPr>
                <w:rFonts w:hint="default" w:ascii="Times New Roman" w:hAnsi="Times New Roman" w:cs="Times New Roman"/>
              </w:rPr>
              <w:t>估算模型参数表</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3655"/>
              <w:gridCol w:w="2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63"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参数</w:t>
                  </w:r>
                </w:p>
              </w:tc>
              <w:tc>
                <w:tcPr>
                  <w:tcW w:w="17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3"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城市/农村选项</w:t>
                  </w:r>
                </w:p>
              </w:tc>
              <w:tc>
                <w:tcPr>
                  <w:tcW w:w="217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城市/农村</w:t>
                  </w:r>
                </w:p>
              </w:tc>
              <w:tc>
                <w:tcPr>
                  <w:tcW w:w="17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cs="Times New Roman"/>
                      <w:bCs/>
                      <w:color w:val="auto"/>
                      <w:kern w:val="0"/>
                      <w:sz w:val="21"/>
                      <w:szCs w:val="21"/>
                      <w:lang w:val="en-US" w:eastAsia="zh-CN"/>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cs="Times New Roman"/>
                      <w:bCs/>
                      <w:color w:val="auto"/>
                      <w:kern w:val="0"/>
                      <w:sz w:val="21"/>
                      <w:szCs w:val="21"/>
                    </w:rPr>
                  </w:pPr>
                </w:p>
              </w:tc>
              <w:tc>
                <w:tcPr>
                  <w:tcW w:w="217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人口数（城市选项时）</w:t>
                  </w:r>
                </w:p>
              </w:tc>
              <w:tc>
                <w:tcPr>
                  <w:tcW w:w="17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63"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最高环境温度（℃）</w:t>
                  </w:r>
                </w:p>
              </w:tc>
              <w:tc>
                <w:tcPr>
                  <w:tcW w:w="17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3</w:t>
                  </w:r>
                  <w:r>
                    <w:rPr>
                      <w:rFonts w:hint="default" w:ascii="Times New Roman" w:hAnsi="Times New Roman" w:cs="Times New Roman"/>
                      <w:bCs/>
                      <w:color w:val="auto"/>
                      <w:kern w:val="0"/>
                      <w:sz w:val="21"/>
                      <w:szCs w:val="21"/>
                      <w:lang w:val="en-US" w:eastAsia="zh-CN"/>
                    </w:rPr>
                    <w:t>2</w:t>
                  </w:r>
                  <w:r>
                    <w:rPr>
                      <w:rFonts w:hint="default" w:ascii="Times New Roman" w:hAnsi="Times New Roman" w:cs="Times New Roman"/>
                      <w:bCs/>
                      <w:color w:val="auto"/>
                      <w:kern w:val="0"/>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63"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最低环境温度（℃）</w:t>
                  </w:r>
                </w:p>
              </w:tc>
              <w:tc>
                <w:tcPr>
                  <w:tcW w:w="17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63"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土地利用类型</w:t>
                  </w:r>
                </w:p>
              </w:tc>
              <w:tc>
                <w:tcPr>
                  <w:tcW w:w="17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cs="Times New Roman"/>
                      <w:bCs/>
                      <w:color w:val="auto"/>
                      <w:kern w:val="0"/>
                      <w:sz w:val="21"/>
                      <w:szCs w:val="21"/>
                      <w:lang w:val="en-US" w:eastAsia="zh-CN"/>
                    </w:rPr>
                    <w:t>阔叶林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63"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区域湿度条件</w:t>
                  </w:r>
                </w:p>
              </w:tc>
              <w:tc>
                <w:tcPr>
                  <w:tcW w:w="17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3"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是否考虑地形</w:t>
                  </w:r>
                </w:p>
              </w:tc>
              <w:tc>
                <w:tcPr>
                  <w:tcW w:w="217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考虑地形</w:t>
                  </w:r>
                </w:p>
              </w:tc>
              <w:tc>
                <w:tcPr>
                  <w:tcW w:w="17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color w:val="auto"/>
                      <w:kern w:val="0"/>
                      <w:sz w:val="21"/>
                      <w:szCs w:val="21"/>
                    </w:rPr>
                    <w:sym w:font="Wingdings 2" w:char="00A3"/>
                  </w:r>
                  <w:r>
                    <w:rPr>
                      <w:rFonts w:hint="default" w:ascii="Times New Roman" w:hAnsi="Times New Roman" w:cs="Times New Roman"/>
                      <w:color w:val="auto"/>
                      <w:kern w:val="0"/>
                      <w:sz w:val="21"/>
                      <w:szCs w:val="21"/>
                    </w:rPr>
                    <w:t>是</w:t>
                  </w:r>
                  <w:r>
                    <w:rPr>
                      <w:rFonts w:hint="default" w:ascii="Times New Roman" w:hAnsi="Times New Roman" w:cs="Times New Roman"/>
                      <w:color w:val="auto"/>
                      <w:kern w:val="0"/>
                      <w:sz w:val="21"/>
                      <w:szCs w:val="21"/>
                    </w:rPr>
                    <w:sym w:font="Wingdings 2" w:char="0052"/>
                  </w:r>
                  <w:r>
                    <w:rPr>
                      <w:rFonts w:hint="default" w:ascii="Times New Roman" w:hAnsi="Times New Roman" w:cs="Times New Roman"/>
                      <w:color w:val="auto"/>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cs="Times New Roman"/>
                      <w:bCs/>
                      <w:color w:val="auto"/>
                      <w:kern w:val="0"/>
                      <w:sz w:val="21"/>
                      <w:szCs w:val="21"/>
                    </w:rPr>
                  </w:pPr>
                </w:p>
              </w:tc>
              <w:tc>
                <w:tcPr>
                  <w:tcW w:w="217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地形数据分辨率/m</w:t>
                  </w:r>
                </w:p>
              </w:tc>
              <w:tc>
                <w:tcPr>
                  <w:tcW w:w="17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3"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是否考虑岸线熏烟</w:t>
                  </w:r>
                </w:p>
              </w:tc>
              <w:tc>
                <w:tcPr>
                  <w:tcW w:w="217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考虑岸线熏烟</w:t>
                  </w:r>
                </w:p>
              </w:tc>
              <w:tc>
                <w:tcPr>
                  <w:tcW w:w="17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sym w:font="Wingdings 2" w:char="00A3"/>
                  </w:r>
                  <w:r>
                    <w:rPr>
                      <w:rFonts w:hint="default" w:ascii="Times New Roman" w:hAnsi="Times New Roman" w:cs="Times New Roman"/>
                      <w:color w:val="auto"/>
                      <w:kern w:val="0"/>
                      <w:sz w:val="21"/>
                      <w:szCs w:val="21"/>
                    </w:rPr>
                    <w:t>是</w:t>
                  </w:r>
                  <w:r>
                    <w:rPr>
                      <w:rFonts w:hint="default" w:ascii="Times New Roman" w:hAnsi="Times New Roman" w:cs="Times New Roman"/>
                      <w:color w:val="auto"/>
                      <w:kern w:val="0"/>
                      <w:sz w:val="21"/>
                      <w:szCs w:val="21"/>
                    </w:rPr>
                    <w:sym w:font="Wingdings 2" w:char="0052"/>
                  </w:r>
                  <w:r>
                    <w:rPr>
                      <w:rFonts w:hint="default" w:ascii="Times New Roman" w:hAnsi="Times New Roman" w:cs="Times New Roman"/>
                      <w:color w:val="auto"/>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cs="Times New Roman"/>
                      <w:bCs/>
                      <w:color w:val="auto"/>
                      <w:kern w:val="0"/>
                      <w:sz w:val="21"/>
                      <w:szCs w:val="21"/>
                    </w:rPr>
                  </w:pPr>
                </w:p>
              </w:tc>
              <w:tc>
                <w:tcPr>
                  <w:tcW w:w="217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岸线距离（m）</w:t>
                  </w:r>
                </w:p>
              </w:tc>
              <w:tc>
                <w:tcPr>
                  <w:tcW w:w="17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cs="Times New Roman"/>
                      <w:bCs/>
                      <w:color w:val="auto"/>
                      <w:kern w:val="0"/>
                      <w:sz w:val="21"/>
                      <w:szCs w:val="21"/>
                    </w:rPr>
                  </w:pPr>
                </w:p>
              </w:tc>
              <w:tc>
                <w:tcPr>
                  <w:tcW w:w="217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岸线方向/°</w:t>
                  </w:r>
                </w:p>
              </w:tc>
              <w:tc>
                <w:tcPr>
                  <w:tcW w:w="17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bl>
          <w:p>
            <w:pPr>
              <w:pStyle w:val="36"/>
              <w:bidi w:val="0"/>
              <w:rPr>
                <w:rFonts w:hint="default" w:ascii="Times New Roman" w:hAnsi="Times New Roman" w:cs="Times New Roman"/>
              </w:rPr>
            </w:pPr>
            <w:r>
              <w:rPr>
                <w:rFonts w:hint="default" w:ascii="Times New Roman" w:hAnsi="Times New Roman" w:cs="Times New Roman"/>
              </w:rPr>
              <w:t>表4-</w:t>
            </w:r>
            <w:r>
              <w:rPr>
                <w:rFonts w:hint="default" w:ascii="Times New Roman" w:hAnsi="Times New Roman" w:cs="Times New Roman"/>
                <w:lang w:val="en-US" w:eastAsia="zh-CN"/>
              </w:rPr>
              <w:t>6</w:t>
            </w:r>
            <w:r>
              <w:rPr>
                <w:rFonts w:hint="default" w:ascii="Times New Roman" w:hAnsi="Times New Roman" w:cs="Times New Roman"/>
              </w:rPr>
              <w:t>主要废气污染源参数一览表（矩形面源）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1150"/>
              <w:gridCol w:w="1204"/>
              <w:gridCol w:w="1591"/>
              <w:gridCol w:w="1539"/>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789" w:type="pct"/>
                  <w:vMerge w:val="restart"/>
                  <w:vAlign w:val="center"/>
                </w:tcPr>
                <w:p>
                  <w:pPr>
                    <w:pStyle w:val="45"/>
                    <w:rPr>
                      <w:rFonts w:hint="default" w:ascii="Times New Roman" w:hAnsi="Times New Roman" w:cs="Times New Roman"/>
                      <w:b/>
                      <w:bCs/>
                      <w:color w:val="auto"/>
                    </w:rPr>
                  </w:pPr>
                  <w:r>
                    <w:rPr>
                      <w:rFonts w:hint="default" w:ascii="Times New Roman" w:hAnsi="Times New Roman" w:cs="Times New Roman"/>
                      <w:b/>
                      <w:bCs/>
                      <w:color w:val="auto"/>
                    </w:rPr>
                    <w:t>污染源名称</w:t>
                  </w:r>
                </w:p>
              </w:tc>
              <w:tc>
                <w:tcPr>
                  <w:tcW w:w="2353" w:type="pct"/>
                  <w:gridSpan w:val="3"/>
                  <w:vAlign w:val="center"/>
                </w:tcPr>
                <w:p>
                  <w:pPr>
                    <w:pStyle w:val="45"/>
                    <w:rPr>
                      <w:rFonts w:hint="default" w:ascii="Times New Roman" w:hAnsi="Times New Roman" w:cs="Times New Roman"/>
                      <w:b/>
                      <w:bCs/>
                      <w:color w:val="auto"/>
                    </w:rPr>
                  </w:pPr>
                  <w:r>
                    <w:rPr>
                      <w:rFonts w:hint="default" w:ascii="Times New Roman" w:hAnsi="Times New Roman" w:cs="Times New Roman"/>
                      <w:b/>
                      <w:bCs/>
                      <w:color w:val="auto"/>
                    </w:rPr>
                    <w:t>矩形面源</w:t>
                  </w:r>
                </w:p>
              </w:tc>
              <w:tc>
                <w:tcPr>
                  <w:tcW w:w="918" w:type="pct"/>
                  <w:vMerge w:val="restart"/>
                  <w:vAlign w:val="center"/>
                </w:tcPr>
                <w:p>
                  <w:pPr>
                    <w:pStyle w:val="45"/>
                    <w:rPr>
                      <w:rFonts w:hint="default" w:ascii="Times New Roman" w:hAnsi="Times New Roman" w:cs="Times New Roman"/>
                      <w:b/>
                      <w:bCs/>
                      <w:color w:val="auto"/>
                    </w:rPr>
                  </w:pPr>
                  <w:r>
                    <w:rPr>
                      <w:rFonts w:hint="default" w:ascii="Times New Roman" w:hAnsi="Times New Roman" w:cs="Times New Roman"/>
                      <w:b/>
                      <w:bCs/>
                      <w:color w:val="auto"/>
                    </w:rPr>
                    <w:t>污染物</w:t>
                  </w:r>
                </w:p>
              </w:tc>
              <w:tc>
                <w:tcPr>
                  <w:tcW w:w="939" w:type="pct"/>
                  <w:vMerge w:val="restart"/>
                  <w:vAlign w:val="center"/>
                </w:tcPr>
                <w:p>
                  <w:pPr>
                    <w:pStyle w:val="45"/>
                    <w:rPr>
                      <w:rFonts w:hint="default" w:ascii="Times New Roman" w:hAnsi="Times New Roman" w:cs="Times New Roman"/>
                      <w:b/>
                      <w:bCs/>
                      <w:color w:val="auto"/>
                    </w:rPr>
                  </w:pPr>
                  <w:r>
                    <w:rPr>
                      <w:rFonts w:hint="default" w:ascii="Times New Roman" w:hAnsi="Times New Roman" w:cs="Times New Roman"/>
                      <w:b/>
                      <w:bCs/>
                      <w:color w:val="auto"/>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89" w:type="pct"/>
                  <w:vMerge w:val="continue"/>
                  <w:vAlign w:val="center"/>
                </w:tcPr>
                <w:p>
                  <w:pPr>
                    <w:pStyle w:val="45"/>
                    <w:rPr>
                      <w:rFonts w:hint="default" w:ascii="Times New Roman" w:hAnsi="Times New Roman" w:cs="Times New Roman"/>
                      <w:color w:val="auto"/>
                    </w:rPr>
                  </w:pPr>
                </w:p>
              </w:tc>
              <w:tc>
                <w:tcPr>
                  <w:tcW w:w="686" w:type="pct"/>
                  <w:vAlign w:val="center"/>
                </w:tcPr>
                <w:p>
                  <w:pPr>
                    <w:pStyle w:val="45"/>
                    <w:rPr>
                      <w:rFonts w:hint="default" w:ascii="Times New Roman" w:hAnsi="Times New Roman" w:cs="Times New Roman"/>
                      <w:b/>
                      <w:bCs/>
                      <w:color w:val="auto"/>
                    </w:rPr>
                  </w:pPr>
                  <w:r>
                    <w:rPr>
                      <w:rFonts w:hint="default" w:ascii="Times New Roman" w:hAnsi="Times New Roman" w:cs="Times New Roman"/>
                      <w:b/>
                      <w:bCs/>
                      <w:color w:val="auto"/>
                    </w:rPr>
                    <w:t>长度（m）</w:t>
                  </w:r>
                </w:p>
              </w:tc>
              <w:tc>
                <w:tcPr>
                  <w:tcW w:w="718" w:type="pct"/>
                  <w:vAlign w:val="center"/>
                </w:tcPr>
                <w:p>
                  <w:pPr>
                    <w:pStyle w:val="45"/>
                    <w:rPr>
                      <w:rFonts w:hint="default" w:ascii="Times New Roman" w:hAnsi="Times New Roman" w:cs="Times New Roman"/>
                      <w:b/>
                      <w:bCs/>
                      <w:color w:val="auto"/>
                    </w:rPr>
                  </w:pPr>
                  <w:r>
                    <w:rPr>
                      <w:rFonts w:hint="default" w:ascii="Times New Roman" w:hAnsi="Times New Roman" w:cs="Times New Roman"/>
                      <w:b/>
                      <w:bCs/>
                      <w:color w:val="auto"/>
                    </w:rPr>
                    <w:t>宽度（m）</w:t>
                  </w:r>
                </w:p>
              </w:tc>
              <w:tc>
                <w:tcPr>
                  <w:tcW w:w="948" w:type="pct"/>
                  <w:vAlign w:val="center"/>
                </w:tcPr>
                <w:p>
                  <w:pPr>
                    <w:pStyle w:val="45"/>
                    <w:rPr>
                      <w:rFonts w:hint="default" w:ascii="Times New Roman" w:hAnsi="Times New Roman" w:cs="Times New Roman"/>
                      <w:b/>
                      <w:bCs/>
                      <w:color w:val="auto"/>
                    </w:rPr>
                  </w:pPr>
                  <w:r>
                    <w:rPr>
                      <w:rFonts w:hint="default" w:ascii="Times New Roman" w:hAnsi="Times New Roman" w:cs="Times New Roman"/>
                      <w:b/>
                      <w:bCs/>
                      <w:color w:val="auto"/>
                    </w:rPr>
                    <w:t>有效高度（m）</w:t>
                  </w:r>
                </w:p>
              </w:tc>
              <w:tc>
                <w:tcPr>
                  <w:tcW w:w="918" w:type="pct"/>
                  <w:vMerge w:val="continue"/>
                  <w:vAlign w:val="center"/>
                </w:tcPr>
                <w:p>
                  <w:pPr>
                    <w:pStyle w:val="45"/>
                    <w:rPr>
                      <w:rFonts w:hint="default" w:ascii="Times New Roman" w:hAnsi="Times New Roman" w:cs="Times New Roman"/>
                      <w:color w:val="auto"/>
                    </w:rPr>
                  </w:pPr>
                </w:p>
              </w:tc>
              <w:tc>
                <w:tcPr>
                  <w:tcW w:w="939" w:type="pct"/>
                  <w:vMerge w:val="continue"/>
                  <w:vAlign w:val="center"/>
                </w:tcPr>
                <w:p>
                  <w:pPr>
                    <w:pStyle w:val="45"/>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89" w:type="pct"/>
                  <w:vMerge w:val="restart"/>
                  <w:vAlign w:val="center"/>
                </w:tcPr>
                <w:p>
                  <w:pPr>
                    <w:pStyle w:val="45"/>
                    <w:rPr>
                      <w:rFonts w:hint="default" w:ascii="Times New Roman" w:hAnsi="Times New Roman" w:cs="Times New Roman"/>
                      <w:color w:val="auto"/>
                    </w:rPr>
                  </w:pPr>
                  <w:r>
                    <w:rPr>
                      <w:rFonts w:hint="default" w:ascii="Times New Roman" w:hAnsi="Times New Roman" w:cs="Times New Roman"/>
                      <w:color w:val="auto"/>
                    </w:rPr>
                    <w:t>厂房</w:t>
                  </w:r>
                </w:p>
              </w:tc>
              <w:tc>
                <w:tcPr>
                  <w:tcW w:w="686" w:type="pct"/>
                  <w:vMerge w:val="restart"/>
                  <w:vAlign w:val="center"/>
                </w:tcPr>
                <w:p>
                  <w:pPr>
                    <w:pStyle w:val="45"/>
                    <w:rPr>
                      <w:rFonts w:hint="default" w:ascii="Times New Roman" w:hAnsi="Times New Roman" w:cs="Times New Roman"/>
                      <w:color w:val="auto"/>
                    </w:rPr>
                  </w:pPr>
                  <w:r>
                    <w:rPr>
                      <w:rFonts w:hint="default" w:ascii="Times New Roman" w:hAnsi="Times New Roman" w:cs="Times New Roman"/>
                      <w:color w:val="auto"/>
                    </w:rPr>
                    <w:t>105</w:t>
                  </w:r>
                </w:p>
              </w:tc>
              <w:tc>
                <w:tcPr>
                  <w:tcW w:w="718" w:type="pct"/>
                  <w:vMerge w:val="restart"/>
                  <w:vAlign w:val="center"/>
                </w:tcPr>
                <w:p>
                  <w:pPr>
                    <w:pStyle w:val="45"/>
                    <w:rPr>
                      <w:rFonts w:hint="default" w:ascii="Times New Roman" w:hAnsi="Times New Roman" w:cs="Times New Roman"/>
                      <w:color w:val="auto"/>
                    </w:rPr>
                  </w:pPr>
                  <w:r>
                    <w:rPr>
                      <w:rFonts w:hint="default" w:ascii="Times New Roman" w:hAnsi="Times New Roman" w:cs="Times New Roman"/>
                      <w:color w:val="auto"/>
                    </w:rPr>
                    <w:t>46</w:t>
                  </w:r>
                </w:p>
              </w:tc>
              <w:tc>
                <w:tcPr>
                  <w:tcW w:w="948" w:type="pct"/>
                  <w:vMerge w:val="restart"/>
                  <w:vAlign w:val="center"/>
                </w:tcPr>
                <w:p>
                  <w:pPr>
                    <w:pStyle w:val="45"/>
                    <w:rPr>
                      <w:rFonts w:hint="default" w:ascii="Times New Roman" w:hAnsi="Times New Roman" w:cs="Times New Roman"/>
                      <w:color w:val="auto"/>
                    </w:rPr>
                  </w:pPr>
                  <w:r>
                    <w:rPr>
                      <w:rFonts w:hint="default" w:ascii="Times New Roman" w:hAnsi="Times New Roman" w:cs="Times New Roman"/>
                      <w:color w:val="auto"/>
                    </w:rPr>
                    <w:t>12.0</w:t>
                  </w:r>
                </w:p>
              </w:tc>
              <w:tc>
                <w:tcPr>
                  <w:tcW w:w="918" w:type="pct"/>
                  <w:vAlign w:val="center"/>
                </w:tcPr>
                <w:p>
                  <w:pPr>
                    <w:pStyle w:val="4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甲苯</w:t>
                  </w:r>
                </w:p>
              </w:tc>
              <w:tc>
                <w:tcPr>
                  <w:tcW w:w="939" w:type="pct"/>
                  <w:vAlign w:val="center"/>
                </w:tcPr>
                <w:p>
                  <w:pPr>
                    <w:pStyle w:val="45"/>
                    <w:rPr>
                      <w:rFonts w:hint="default" w:ascii="Times New Roman" w:hAnsi="Times New Roman" w:cs="Times New Roman"/>
                      <w:color w:val="auto"/>
                    </w:rPr>
                  </w:pPr>
                  <w:r>
                    <w:rPr>
                      <w:rFonts w:hint="default" w:ascii="Times New Roman" w:hAnsi="Times New Roman" w:cs="Times New Roman"/>
                      <w:bCs/>
                      <w:color w:val="auto"/>
                      <w:szCs w:val="18"/>
                      <w:lang w:val="en-US" w:eastAsia="zh-CN"/>
                    </w:rPr>
                    <w:t>0.0375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89" w:type="pct"/>
                  <w:vMerge w:val="continue"/>
                  <w:vAlign w:val="center"/>
                </w:tcPr>
                <w:p>
                  <w:pPr>
                    <w:pStyle w:val="45"/>
                    <w:rPr>
                      <w:rFonts w:hint="default" w:ascii="Times New Roman" w:hAnsi="Times New Roman" w:cs="Times New Roman"/>
                      <w:color w:val="auto"/>
                    </w:rPr>
                  </w:pPr>
                </w:p>
              </w:tc>
              <w:tc>
                <w:tcPr>
                  <w:tcW w:w="686" w:type="pct"/>
                  <w:vMerge w:val="continue"/>
                  <w:vAlign w:val="center"/>
                </w:tcPr>
                <w:p>
                  <w:pPr>
                    <w:pStyle w:val="45"/>
                    <w:rPr>
                      <w:rFonts w:hint="default" w:ascii="Times New Roman" w:hAnsi="Times New Roman" w:cs="Times New Roman"/>
                      <w:color w:val="auto"/>
                    </w:rPr>
                  </w:pPr>
                </w:p>
              </w:tc>
              <w:tc>
                <w:tcPr>
                  <w:tcW w:w="718" w:type="pct"/>
                  <w:vMerge w:val="continue"/>
                  <w:vAlign w:val="center"/>
                </w:tcPr>
                <w:p>
                  <w:pPr>
                    <w:pStyle w:val="45"/>
                    <w:rPr>
                      <w:rFonts w:hint="default" w:ascii="Times New Roman" w:hAnsi="Times New Roman" w:cs="Times New Roman"/>
                      <w:color w:val="auto"/>
                    </w:rPr>
                  </w:pPr>
                </w:p>
              </w:tc>
              <w:tc>
                <w:tcPr>
                  <w:tcW w:w="948" w:type="pct"/>
                  <w:vMerge w:val="continue"/>
                  <w:vAlign w:val="center"/>
                </w:tcPr>
                <w:p>
                  <w:pPr>
                    <w:pStyle w:val="45"/>
                    <w:rPr>
                      <w:rFonts w:hint="default" w:ascii="Times New Roman" w:hAnsi="Times New Roman" w:cs="Times New Roman"/>
                      <w:color w:val="auto"/>
                    </w:rPr>
                  </w:pPr>
                </w:p>
              </w:tc>
              <w:tc>
                <w:tcPr>
                  <w:tcW w:w="918" w:type="pct"/>
                  <w:vAlign w:val="center"/>
                </w:tcPr>
                <w:p>
                  <w:pPr>
                    <w:pStyle w:val="45"/>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二甲苯</w:t>
                  </w:r>
                </w:p>
              </w:tc>
              <w:tc>
                <w:tcPr>
                  <w:tcW w:w="939" w:type="pct"/>
                  <w:vAlign w:val="center"/>
                </w:tcPr>
                <w:p>
                  <w:pPr>
                    <w:pStyle w:val="45"/>
                    <w:rPr>
                      <w:rFonts w:hint="default" w:ascii="Times New Roman" w:hAnsi="Times New Roman" w:cs="Times New Roman"/>
                      <w:color w:val="auto"/>
                    </w:rPr>
                  </w:pPr>
                  <w:r>
                    <w:rPr>
                      <w:rFonts w:hint="default" w:ascii="Times New Roman" w:hAnsi="Times New Roman" w:cs="Times New Roman"/>
                      <w:bCs/>
                      <w:color w:val="auto"/>
                      <w:szCs w:val="18"/>
                      <w:lang w:val="en-US" w:eastAsia="zh-CN"/>
                    </w:rPr>
                    <w:t>0.0375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9" w:type="pct"/>
                  <w:vMerge w:val="continue"/>
                  <w:vAlign w:val="center"/>
                </w:tcPr>
                <w:p>
                  <w:pPr>
                    <w:pStyle w:val="45"/>
                    <w:rPr>
                      <w:rFonts w:hint="default" w:ascii="Times New Roman" w:hAnsi="Times New Roman" w:cs="Times New Roman"/>
                      <w:color w:val="auto"/>
                    </w:rPr>
                  </w:pPr>
                </w:p>
              </w:tc>
              <w:tc>
                <w:tcPr>
                  <w:tcW w:w="686" w:type="pct"/>
                  <w:vMerge w:val="continue"/>
                  <w:vAlign w:val="center"/>
                </w:tcPr>
                <w:p>
                  <w:pPr>
                    <w:pStyle w:val="45"/>
                    <w:rPr>
                      <w:rFonts w:hint="default" w:ascii="Times New Roman" w:hAnsi="Times New Roman" w:cs="Times New Roman"/>
                      <w:color w:val="auto"/>
                    </w:rPr>
                  </w:pPr>
                </w:p>
              </w:tc>
              <w:tc>
                <w:tcPr>
                  <w:tcW w:w="718" w:type="pct"/>
                  <w:vMerge w:val="continue"/>
                  <w:vAlign w:val="center"/>
                </w:tcPr>
                <w:p>
                  <w:pPr>
                    <w:pStyle w:val="45"/>
                    <w:rPr>
                      <w:rFonts w:hint="default" w:ascii="Times New Roman" w:hAnsi="Times New Roman" w:cs="Times New Roman"/>
                      <w:color w:val="auto"/>
                    </w:rPr>
                  </w:pPr>
                </w:p>
              </w:tc>
              <w:tc>
                <w:tcPr>
                  <w:tcW w:w="948" w:type="pct"/>
                  <w:vMerge w:val="continue"/>
                  <w:vAlign w:val="center"/>
                </w:tcPr>
                <w:p>
                  <w:pPr>
                    <w:pStyle w:val="45"/>
                    <w:rPr>
                      <w:rFonts w:hint="default" w:ascii="Times New Roman" w:hAnsi="Times New Roman" w:cs="Times New Roman"/>
                      <w:color w:val="auto"/>
                    </w:rPr>
                  </w:pPr>
                </w:p>
              </w:tc>
              <w:tc>
                <w:tcPr>
                  <w:tcW w:w="918" w:type="pct"/>
                  <w:vAlign w:val="center"/>
                </w:tcPr>
                <w:p>
                  <w:pPr>
                    <w:pStyle w:val="45"/>
                    <w:rPr>
                      <w:rFonts w:hint="default" w:ascii="Times New Roman" w:hAnsi="Times New Roman" w:cs="Times New Roman"/>
                      <w:color w:val="auto"/>
                    </w:rPr>
                  </w:pPr>
                  <w:r>
                    <w:rPr>
                      <w:rFonts w:hint="default" w:ascii="Times New Roman" w:hAnsi="Times New Roman" w:cs="Times New Roman"/>
                      <w:color w:val="auto"/>
                    </w:rPr>
                    <w:t>挥发性有机物（以非甲烷总烃计）</w:t>
                  </w:r>
                </w:p>
              </w:tc>
              <w:tc>
                <w:tcPr>
                  <w:tcW w:w="939" w:type="pct"/>
                  <w:vAlign w:val="center"/>
                </w:tcPr>
                <w:p>
                  <w:pPr>
                    <w:pStyle w:val="4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0.76</w:t>
                  </w:r>
                </w:p>
              </w:tc>
            </w:tr>
          </w:tbl>
          <w:p>
            <w:pPr>
              <w:pStyle w:val="36"/>
              <w:bidi w:val="0"/>
              <w:rPr>
                <w:rFonts w:hint="default" w:ascii="Times New Roman" w:hAnsi="Times New Roman" w:cs="Times New Roman"/>
              </w:rPr>
            </w:pPr>
          </w:p>
          <w:p>
            <w:pPr>
              <w:pStyle w:val="36"/>
              <w:bidi w:val="0"/>
              <w:rPr>
                <w:rFonts w:hint="default" w:ascii="Times New Roman" w:hAnsi="Times New Roman" w:cs="Times New Roman"/>
              </w:rPr>
            </w:pPr>
          </w:p>
          <w:p>
            <w:pPr>
              <w:pStyle w:val="36"/>
              <w:bidi w:val="0"/>
              <w:rPr>
                <w:rFonts w:hint="default" w:ascii="Times New Roman" w:hAnsi="Times New Roman" w:cs="Times New Roman"/>
              </w:rPr>
            </w:pPr>
          </w:p>
          <w:p>
            <w:pPr>
              <w:pStyle w:val="36"/>
              <w:bidi w:val="0"/>
              <w:rPr>
                <w:rFonts w:hint="default" w:ascii="Times New Roman" w:hAnsi="Times New Roman" w:cs="Times New Roman"/>
              </w:rPr>
            </w:pPr>
          </w:p>
          <w:p>
            <w:pPr>
              <w:pStyle w:val="36"/>
              <w:bidi w:val="0"/>
              <w:rPr>
                <w:rFonts w:hint="default" w:ascii="Times New Roman" w:hAnsi="Times New Roman" w:cs="Times New Roman"/>
              </w:rPr>
            </w:pPr>
          </w:p>
          <w:p>
            <w:pPr>
              <w:pStyle w:val="36"/>
              <w:bidi w:val="0"/>
              <w:rPr>
                <w:rFonts w:hint="default" w:ascii="Times New Roman" w:hAnsi="Times New Roman" w:cs="Times New Roman"/>
              </w:rPr>
            </w:pPr>
          </w:p>
          <w:p>
            <w:pPr>
              <w:pStyle w:val="36"/>
              <w:bidi w:val="0"/>
              <w:rPr>
                <w:rFonts w:hint="default" w:ascii="Times New Roman" w:hAnsi="Times New Roman" w:cs="Times New Roman"/>
              </w:rPr>
            </w:pPr>
          </w:p>
          <w:p>
            <w:pPr>
              <w:pStyle w:val="36"/>
              <w:bidi w:val="0"/>
              <w:rPr>
                <w:rFonts w:hint="default" w:ascii="Times New Roman" w:hAnsi="Times New Roman" w:cs="Times New Roman"/>
              </w:rPr>
            </w:pPr>
            <w:r>
              <w:rPr>
                <w:rFonts w:hint="default" w:ascii="Times New Roman" w:hAnsi="Times New Roman" w:cs="Times New Roman"/>
              </w:rPr>
              <w:t>表4-</w:t>
            </w:r>
            <w:r>
              <w:rPr>
                <w:rFonts w:hint="default" w:ascii="Times New Roman" w:hAnsi="Times New Roman" w:cs="Times New Roman"/>
                <w:lang w:val="en-US" w:eastAsia="zh-CN"/>
              </w:rPr>
              <w:t>7</w:t>
            </w:r>
            <w:r>
              <w:rPr>
                <w:rFonts w:hint="default" w:ascii="Times New Roman" w:hAnsi="Times New Roman" w:cs="Times New Roman"/>
              </w:rPr>
              <w:t>项目无组织废气排放预测结果一览表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1130"/>
              <w:gridCol w:w="920"/>
              <w:gridCol w:w="1130"/>
              <w:gridCol w:w="1093"/>
              <w:gridCol w:w="1443"/>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blHeader/>
                <w:jc w:val="center"/>
              </w:trPr>
              <w:tc>
                <w:tcPr>
                  <w:tcW w:w="552" w:type="pct"/>
                  <w:vMerge w:val="restart"/>
                  <w:vAlign w:val="center"/>
                </w:tcPr>
                <w:p>
                  <w:pPr>
                    <w:pStyle w:val="45"/>
                    <w:bidi w:val="0"/>
                    <w:rPr>
                      <w:rFonts w:hint="default" w:ascii="Times New Roman" w:hAnsi="Times New Roman" w:cs="Times New Roman"/>
                      <w:b/>
                      <w:bCs/>
                      <w:sz w:val="21"/>
                      <w:szCs w:val="21"/>
                    </w:rPr>
                  </w:pPr>
                  <w:r>
                    <w:rPr>
                      <w:rFonts w:hint="default" w:ascii="Times New Roman" w:hAnsi="Times New Roman" w:cs="Times New Roman"/>
                      <w:b/>
                      <w:bCs/>
                      <w:sz w:val="21"/>
                      <w:szCs w:val="21"/>
                    </w:rPr>
                    <w:t>下风向距离</w:t>
                  </w:r>
                </w:p>
                <w:p>
                  <w:pPr>
                    <w:pStyle w:val="45"/>
                    <w:bidi w:val="0"/>
                    <w:rPr>
                      <w:rFonts w:hint="default" w:ascii="Times New Roman" w:hAnsi="Times New Roman" w:cs="Times New Roman"/>
                      <w:b/>
                      <w:bCs/>
                      <w:sz w:val="21"/>
                      <w:szCs w:val="21"/>
                    </w:rPr>
                  </w:pPr>
                  <w:r>
                    <w:rPr>
                      <w:rFonts w:hint="default" w:ascii="Times New Roman" w:hAnsi="Times New Roman" w:cs="Times New Roman"/>
                      <w:b/>
                      <w:bCs/>
                      <w:sz w:val="21"/>
                      <w:szCs w:val="21"/>
                    </w:rPr>
                    <w:t>（m）</w:t>
                  </w:r>
                </w:p>
              </w:tc>
              <w:tc>
                <w:tcPr>
                  <w:tcW w:w="4447" w:type="pct"/>
                  <w:gridSpan w:val="6"/>
                  <w:vAlign w:val="center"/>
                </w:tcPr>
                <w:p>
                  <w:pPr>
                    <w:pStyle w:val="45"/>
                    <w:bidi w:val="0"/>
                    <w:rPr>
                      <w:rFonts w:hint="default" w:ascii="Times New Roman" w:hAnsi="Times New Roman" w:cs="Times New Roman"/>
                      <w:b/>
                      <w:bCs/>
                      <w:sz w:val="21"/>
                      <w:szCs w:val="21"/>
                    </w:rPr>
                  </w:pPr>
                  <w:r>
                    <w:rPr>
                      <w:rFonts w:hint="default" w:ascii="Times New Roman" w:hAnsi="Times New Roman" w:cs="Times New Roman"/>
                      <w:b/>
                      <w:bCs/>
                      <w:sz w:val="21"/>
                      <w:szCs w:val="21"/>
                    </w:rPr>
                    <w:t>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blHeader/>
                <w:jc w:val="center"/>
              </w:trPr>
              <w:tc>
                <w:tcPr>
                  <w:tcW w:w="552" w:type="pct"/>
                  <w:vMerge w:val="continue"/>
                  <w:vAlign w:val="center"/>
                </w:tcPr>
                <w:p>
                  <w:pPr>
                    <w:pStyle w:val="45"/>
                    <w:bidi w:val="0"/>
                    <w:rPr>
                      <w:rFonts w:hint="default" w:ascii="Times New Roman" w:hAnsi="Times New Roman" w:cs="Times New Roman"/>
                      <w:b/>
                      <w:bCs/>
                      <w:sz w:val="21"/>
                      <w:szCs w:val="21"/>
                    </w:rPr>
                  </w:pPr>
                </w:p>
              </w:tc>
              <w:tc>
                <w:tcPr>
                  <w:tcW w:w="674" w:type="pct"/>
                  <w:vAlign w:val="center"/>
                </w:tcPr>
                <w:p>
                  <w:pPr>
                    <w:pStyle w:val="45"/>
                    <w:bidi w:val="0"/>
                    <w:rPr>
                      <w:rFonts w:hint="default" w:ascii="Times New Roman" w:hAnsi="Times New Roman" w:cs="Times New Roman"/>
                      <w:b/>
                      <w:bCs/>
                      <w:sz w:val="21"/>
                      <w:szCs w:val="21"/>
                    </w:rPr>
                  </w:pPr>
                  <w:r>
                    <w:rPr>
                      <w:rFonts w:hint="default" w:ascii="Times New Roman" w:hAnsi="Times New Roman" w:cs="Times New Roman"/>
                      <w:b/>
                      <w:bCs/>
                      <w:sz w:val="21"/>
                      <w:szCs w:val="21"/>
                    </w:rPr>
                    <w:t>二甲苯浓度(μg/m³)</w:t>
                  </w:r>
                </w:p>
              </w:tc>
              <w:tc>
                <w:tcPr>
                  <w:tcW w:w="549" w:type="pct"/>
                  <w:vAlign w:val="center"/>
                </w:tcPr>
                <w:p>
                  <w:pPr>
                    <w:pStyle w:val="45"/>
                    <w:bidi w:val="0"/>
                    <w:rPr>
                      <w:rFonts w:hint="default" w:ascii="Times New Roman" w:hAnsi="Times New Roman" w:cs="Times New Roman"/>
                      <w:b/>
                      <w:bCs/>
                      <w:sz w:val="21"/>
                      <w:szCs w:val="21"/>
                    </w:rPr>
                  </w:pPr>
                  <w:r>
                    <w:rPr>
                      <w:rFonts w:hint="default" w:ascii="Times New Roman" w:hAnsi="Times New Roman" w:cs="Times New Roman"/>
                      <w:b/>
                      <w:bCs/>
                      <w:sz w:val="21"/>
                      <w:szCs w:val="21"/>
                    </w:rPr>
                    <w:t>二甲苯占标率(%)</w:t>
                  </w:r>
                </w:p>
              </w:tc>
              <w:tc>
                <w:tcPr>
                  <w:tcW w:w="674" w:type="pct"/>
                  <w:vAlign w:val="center"/>
                </w:tcPr>
                <w:p>
                  <w:pPr>
                    <w:pStyle w:val="45"/>
                    <w:bidi w:val="0"/>
                    <w:rPr>
                      <w:rFonts w:hint="default" w:ascii="Times New Roman" w:hAnsi="Times New Roman" w:cs="Times New Roman"/>
                      <w:b/>
                      <w:bCs/>
                      <w:sz w:val="21"/>
                      <w:szCs w:val="21"/>
                    </w:rPr>
                  </w:pPr>
                  <w:r>
                    <w:rPr>
                      <w:rFonts w:hint="default" w:ascii="Times New Roman" w:hAnsi="Times New Roman" w:cs="Times New Roman"/>
                      <w:b/>
                      <w:bCs/>
                      <w:sz w:val="21"/>
                      <w:szCs w:val="21"/>
                    </w:rPr>
                    <w:t>甲苯浓度(μg/m³)</w:t>
                  </w:r>
                </w:p>
              </w:tc>
              <w:tc>
                <w:tcPr>
                  <w:tcW w:w="652" w:type="pct"/>
                  <w:vAlign w:val="center"/>
                </w:tcPr>
                <w:p>
                  <w:pPr>
                    <w:pStyle w:val="45"/>
                    <w:bidi w:val="0"/>
                    <w:rPr>
                      <w:rFonts w:hint="default" w:ascii="Times New Roman" w:hAnsi="Times New Roman" w:cs="Times New Roman"/>
                      <w:b/>
                      <w:bCs/>
                      <w:sz w:val="21"/>
                      <w:szCs w:val="21"/>
                    </w:rPr>
                  </w:pPr>
                  <w:r>
                    <w:rPr>
                      <w:rFonts w:hint="default" w:ascii="Times New Roman" w:hAnsi="Times New Roman" w:cs="Times New Roman"/>
                      <w:b/>
                      <w:bCs/>
                      <w:sz w:val="21"/>
                      <w:szCs w:val="21"/>
                    </w:rPr>
                    <w:t>甲苯占标率(%)</w:t>
                  </w:r>
                </w:p>
              </w:tc>
              <w:tc>
                <w:tcPr>
                  <w:tcW w:w="861" w:type="pct"/>
                  <w:vAlign w:val="center"/>
                </w:tcPr>
                <w:p>
                  <w:pPr>
                    <w:pStyle w:val="45"/>
                    <w:bidi w:val="0"/>
                    <w:rPr>
                      <w:rFonts w:hint="default" w:ascii="Times New Roman" w:hAnsi="Times New Roman" w:cs="Times New Roman"/>
                      <w:b/>
                      <w:bCs/>
                      <w:sz w:val="21"/>
                      <w:szCs w:val="21"/>
                    </w:rPr>
                  </w:pPr>
                  <w:r>
                    <w:rPr>
                      <w:rFonts w:hint="default" w:ascii="Times New Roman" w:hAnsi="Times New Roman" w:cs="Times New Roman"/>
                      <w:b/>
                      <w:bCs/>
                      <w:sz w:val="21"/>
                      <w:szCs w:val="21"/>
                    </w:rPr>
                    <w:t>NMHC浓度(μg/m³)</w:t>
                  </w:r>
                </w:p>
              </w:tc>
              <w:tc>
                <w:tcPr>
                  <w:tcW w:w="1034" w:type="pct"/>
                  <w:vAlign w:val="center"/>
                </w:tcPr>
                <w:p>
                  <w:pPr>
                    <w:pStyle w:val="45"/>
                    <w:bidi w:val="0"/>
                    <w:rPr>
                      <w:rFonts w:hint="default" w:ascii="Times New Roman" w:hAnsi="Times New Roman" w:cs="Times New Roman"/>
                      <w:b/>
                      <w:bCs/>
                      <w:sz w:val="21"/>
                      <w:szCs w:val="21"/>
                    </w:rPr>
                  </w:pPr>
                  <w:r>
                    <w:rPr>
                      <w:rFonts w:hint="default" w:ascii="Times New Roman" w:hAnsi="Times New Roman" w:cs="Times New Roman"/>
                      <w:b/>
                      <w:bCs/>
                      <w:sz w:val="21"/>
                      <w:szCs w:val="21"/>
                    </w:rPr>
                    <w:t>NMHC占标率(%)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52"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下风向最大浓度</w:t>
                  </w:r>
                </w:p>
              </w:tc>
              <w:tc>
                <w:tcPr>
                  <w:tcW w:w="1136" w:type="dxa"/>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24.5080</w:t>
                  </w:r>
                </w:p>
              </w:tc>
              <w:tc>
                <w:tcPr>
                  <w:tcW w:w="926" w:type="dxa"/>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12.2540</w:t>
                  </w:r>
                </w:p>
              </w:tc>
              <w:tc>
                <w:tcPr>
                  <w:tcW w:w="1136" w:type="dxa"/>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24.5080</w:t>
                  </w:r>
                </w:p>
              </w:tc>
              <w:tc>
                <w:tcPr>
                  <w:tcW w:w="1097" w:type="dxa"/>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12.2540</w:t>
                  </w:r>
                </w:p>
              </w:tc>
              <w:tc>
                <w:tcPr>
                  <w:tcW w:w="1450" w:type="dxa"/>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496.6955</w:t>
                  </w:r>
                </w:p>
              </w:tc>
              <w:tc>
                <w:tcPr>
                  <w:tcW w:w="1747" w:type="dxa"/>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24.8348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52"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下风向最大浓度出现距离</w:t>
                  </w:r>
                </w:p>
              </w:tc>
              <w:tc>
                <w:tcPr>
                  <w:tcW w:w="1136" w:type="dxa"/>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47.0</w:t>
                  </w:r>
                </w:p>
              </w:tc>
              <w:tc>
                <w:tcPr>
                  <w:tcW w:w="926" w:type="dxa"/>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47.0</w:t>
                  </w:r>
                </w:p>
              </w:tc>
              <w:tc>
                <w:tcPr>
                  <w:tcW w:w="1136" w:type="dxa"/>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47.0</w:t>
                  </w:r>
                </w:p>
              </w:tc>
              <w:tc>
                <w:tcPr>
                  <w:tcW w:w="1097" w:type="dxa"/>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47.0</w:t>
                  </w:r>
                </w:p>
              </w:tc>
              <w:tc>
                <w:tcPr>
                  <w:tcW w:w="1450" w:type="dxa"/>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47.0</w:t>
                  </w:r>
                </w:p>
              </w:tc>
              <w:tc>
                <w:tcPr>
                  <w:tcW w:w="1747" w:type="dxa"/>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52"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D10%最远距离</w:t>
                  </w:r>
                </w:p>
              </w:tc>
              <w:tc>
                <w:tcPr>
                  <w:tcW w:w="674"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w:t>
                  </w:r>
                </w:p>
              </w:tc>
              <w:tc>
                <w:tcPr>
                  <w:tcW w:w="549"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w:t>
                  </w:r>
                </w:p>
              </w:tc>
              <w:tc>
                <w:tcPr>
                  <w:tcW w:w="674"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w:t>
                  </w:r>
                </w:p>
              </w:tc>
              <w:tc>
                <w:tcPr>
                  <w:tcW w:w="652" w:type="pct"/>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w:t>
                  </w:r>
                </w:p>
              </w:tc>
              <w:tc>
                <w:tcPr>
                  <w:tcW w:w="1450" w:type="dxa"/>
                  <w:vAlign w:val="center"/>
                </w:tcPr>
                <w:p>
                  <w:pPr>
                    <w:pStyle w:val="45"/>
                    <w:bidi w:val="0"/>
                    <w:ind w:firstLine="0" w:firstLineChars="0"/>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w:t>
                  </w:r>
                </w:p>
              </w:tc>
              <w:tc>
                <w:tcPr>
                  <w:tcW w:w="1748" w:type="dxa"/>
                  <w:vAlign w:val="center"/>
                </w:tcPr>
                <w:p>
                  <w:pPr>
                    <w:pStyle w:val="45"/>
                    <w:bidi w:val="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w:t>
                  </w:r>
                </w:p>
              </w:tc>
            </w:tr>
          </w:tbl>
          <w:p>
            <w:pPr>
              <w:pStyle w:val="18"/>
              <w:adjustRightInd w:val="0"/>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bCs/>
                <w:color w:val="auto"/>
                <w:sz w:val="24"/>
                <w:szCs w:val="24"/>
              </w:rPr>
              <w:t>项目无组织甲苯最大落地浓度为24.508</w:t>
            </w:r>
            <w:r>
              <w:rPr>
                <w:rFonts w:hint="default" w:ascii="Times New Roman" w:hAnsi="Times New Roman" w:cs="Times New Roman"/>
                <w:color w:val="auto"/>
                <w:sz w:val="24"/>
                <w:szCs w:val="24"/>
              </w:rPr>
              <w:t>μ</w:t>
            </w:r>
            <w:r>
              <w:rPr>
                <w:rFonts w:hint="default" w:ascii="Times New Roman" w:hAnsi="Times New Roman" w:cs="Times New Roman"/>
                <w:bCs/>
                <w:color w:val="auto"/>
                <w:sz w:val="24"/>
                <w:szCs w:val="24"/>
              </w:rPr>
              <w:t>g/</w:t>
            </w:r>
            <w:r>
              <w:rPr>
                <w:rFonts w:hint="default" w:ascii="Times New Roman" w:hAnsi="Times New Roman" w:cs="Times New Roman"/>
                <w:bCs/>
                <w:color w:val="auto"/>
                <w:sz w:val="24"/>
                <w:szCs w:val="24"/>
                <w:lang w:eastAsia="zh-CN"/>
              </w:rPr>
              <w:t>m³</w:t>
            </w:r>
            <w:r>
              <w:rPr>
                <w:rFonts w:hint="default" w:ascii="Times New Roman" w:hAnsi="Times New Roman" w:cs="Times New Roman"/>
                <w:bCs/>
                <w:color w:val="auto"/>
                <w:sz w:val="24"/>
                <w:szCs w:val="24"/>
              </w:rPr>
              <w:t>，满足</w:t>
            </w:r>
            <w:r>
              <w:rPr>
                <w:rFonts w:hint="default" w:ascii="Times New Roman" w:hAnsi="Times New Roman" w:cs="Times New Roman"/>
                <w:color w:val="auto"/>
                <w:sz w:val="24"/>
                <w:szCs w:val="24"/>
              </w:rPr>
              <w:t>《大气污染物综合排放标准》（GB16297-1996）</w:t>
            </w:r>
            <w:r>
              <w:rPr>
                <w:rFonts w:hint="default" w:ascii="Times New Roman" w:hAnsi="Times New Roman" w:cs="Times New Roman"/>
                <w:color w:val="auto"/>
                <w:sz w:val="24"/>
              </w:rPr>
              <w:t>表2中</w:t>
            </w:r>
            <w:r>
              <w:rPr>
                <w:rFonts w:hint="default" w:ascii="Times New Roman" w:hAnsi="Times New Roman" w:cs="Times New Roman"/>
                <w:color w:val="auto"/>
                <w:sz w:val="24"/>
                <w:lang w:val="en-US" w:eastAsia="zh-CN"/>
              </w:rPr>
              <w:t>2.4</w:t>
            </w:r>
            <w:r>
              <w:rPr>
                <w:rFonts w:hint="default" w:ascii="Times New Roman" w:hAnsi="Times New Roman" w:cs="Times New Roman"/>
                <w:color w:val="auto"/>
                <w:sz w:val="24"/>
              </w:rPr>
              <w:t>mg/</w:t>
            </w:r>
            <w:r>
              <w:rPr>
                <w:rFonts w:hint="default" w:ascii="Times New Roman" w:hAnsi="Times New Roman" w:cs="Times New Roman"/>
                <w:color w:val="auto"/>
                <w:sz w:val="24"/>
                <w:lang w:eastAsia="zh-CN"/>
              </w:rPr>
              <w:t>m³</w:t>
            </w:r>
            <w:r>
              <w:rPr>
                <w:rFonts w:hint="default" w:ascii="Times New Roman" w:hAnsi="Times New Roman" w:cs="Times New Roman"/>
                <w:color w:val="auto"/>
                <w:sz w:val="24"/>
              </w:rPr>
              <w:t>的要求</w:t>
            </w:r>
            <w:r>
              <w:rPr>
                <w:rFonts w:hint="default" w:ascii="Times New Roman" w:hAnsi="Times New Roman" w:cs="Times New Roman"/>
                <w:color w:val="auto"/>
                <w:sz w:val="24"/>
                <w:szCs w:val="24"/>
              </w:rPr>
              <w:t>，从而反映出项目厂界</w:t>
            </w:r>
            <w:r>
              <w:rPr>
                <w:rFonts w:hint="default" w:ascii="Times New Roman" w:hAnsi="Times New Roman" w:cs="Times New Roman"/>
                <w:bCs/>
                <w:color w:val="auto"/>
                <w:sz w:val="24"/>
                <w:szCs w:val="24"/>
              </w:rPr>
              <w:t>甲苯满足</w:t>
            </w:r>
            <w:r>
              <w:rPr>
                <w:rFonts w:hint="default" w:ascii="Times New Roman" w:hAnsi="Times New Roman" w:cs="Times New Roman"/>
                <w:color w:val="auto"/>
                <w:sz w:val="24"/>
                <w:szCs w:val="24"/>
              </w:rPr>
              <w:t>《大气污染物综合排放标准》（GB16297-1996）表2中</w:t>
            </w:r>
            <w:r>
              <w:rPr>
                <w:rFonts w:hint="default" w:ascii="Times New Roman" w:hAnsi="Times New Roman" w:cs="Times New Roman"/>
                <w:color w:val="auto"/>
                <w:sz w:val="24"/>
                <w:szCs w:val="24"/>
                <w:lang w:val="en-US" w:eastAsia="zh-CN"/>
              </w:rPr>
              <w:t>2.4</w:t>
            </w:r>
            <w:r>
              <w:rPr>
                <w:rFonts w:hint="default" w:ascii="Times New Roman" w:hAnsi="Times New Roman" w:cs="Times New Roman"/>
                <w:color w:val="auto"/>
                <w:sz w:val="24"/>
                <w:szCs w:val="24"/>
              </w:rPr>
              <w:t>mg/</w:t>
            </w:r>
            <w:r>
              <w:rPr>
                <w:rFonts w:hint="default" w:ascii="Times New Roman" w:hAnsi="Times New Roman" w:cs="Times New Roman"/>
                <w:color w:val="auto"/>
                <w:sz w:val="24"/>
                <w:szCs w:val="24"/>
                <w:lang w:eastAsia="zh-CN"/>
              </w:rPr>
              <w:t>m³</w:t>
            </w:r>
            <w:r>
              <w:rPr>
                <w:rFonts w:hint="default" w:ascii="Times New Roman" w:hAnsi="Times New Roman" w:cs="Times New Roman"/>
                <w:color w:val="auto"/>
                <w:sz w:val="24"/>
                <w:szCs w:val="24"/>
              </w:rPr>
              <w:t>的要求；</w:t>
            </w:r>
          </w:p>
          <w:p>
            <w:pPr>
              <w:pStyle w:val="18"/>
              <w:adjustRightInd w:val="0"/>
              <w:ind w:firstLine="480" w:firstLineChars="200"/>
              <w:jc w:val="both"/>
              <w:rPr>
                <w:rFonts w:hint="default" w:ascii="Times New Roman" w:hAnsi="Times New Roman" w:cs="Times New Roman"/>
                <w:color w:val="auto"/>
                <w:sz w:val="24"/>
                <w:highlight w:val="green"/>
              </w:rPr>
            </w:pPr>
            <w:r>
              <w:rPr>
                <w:rFonts w:hint="default" w:ascii="Times New Roman" w:hAnsi="Times New Roman" w:cs="Times New Roman"/>
                <w:bCs/>
                <w:color w:val="auto"/>
                <w:sz w:val="24"/>
                <w:szCs w:val="24"/>
              </w:rPr>
              <w:t>项目无组织</w:t>
            </w:r>
            <w:r>
              <w:rPr>
                <w:rFonts w:hint="default" w:ascii="Times New Roman" w:hAnsi="Times New Roman" w:cs="Times New Roman"/>
                <w:bCs/>
                <w:color w:val="auto"/>
                <w:sz w:val="24"/>
                <w:szCs w:val="24"/>
                <w:lang w:val="en-US" w:eastAsia="zh-CN"/>
              </w:rPr>
              <w:t>二</w:t>
            </w:r>
            <w:r>
              <w:rPr>
                <w:rFonts w:hint="default" w:ascii="Times New Roman" w:hAnsi="Times New Roman" w:cs="Times New Roman"/>
                <w:bCs/>
                <w:color w:val="auto"/>
                <w:sz w:val="24"/>
                <w:szCs w:val="24"/>
              </w:rPr>
              <w:t>甲苯最大落地浓度为24.508</w:t>
            </w:r>
            <w:r>
              <w:rPr>
                <w:rFonts w:hint="default" w:ascii="Times New Roman" w:hAnsi="Times New Roman" w:cs="Times New Roman"/>
                <w:color w:val="auto"/>
                <w:sz w:val="24"/>
                <w:szCs w:val="24"/>
              </w:rPr>
              <w:t>μ</w:t>
            </w:r>
            <w:r>
              <w:rPr>
                <w:rFonts w:hint="default" w:ascii="Times New Roman" w:hAnsi="Times New Roman" w:cs="Times New Roman"/>
                <w:bCs/>
                <w:color w:val="auto"/>
                <w:sz w:val="24"/>
                <w:szCs w:val="24"/>
              </w:rPr>
              <w:t>g/</w:t>
            </w:r>
            <w:r>
              <w:rPr>
                <w:rFonts w:hint="default" w:ascii="Times New Roman" w:hAnsi="Times New Roman" w:cs="Times New Roman"/>
                <w:bCs/>
                <w:color w:val="auto"/>
                <w:sz w:val="24"/>
                <w:szCs w:val="24"/>
                <w:lang w:eastAsia="zh-CN"/>
              </w:rPr>
              <w:t>m³</w:t>
            </w:r>
            <w:r>
              <w:rPr>
                <w:rFonts w:hint="default" w:ascii="Times New Roman" w:hAnsi="Times New Roman" w:cs="Times New Roman"/>
                <w:bCs/>
                <w:color w:val="auto"/>
                <w:sz w:val="24"/>
                <w:szCs w:val="24"/>
              </w:rPr>
              <w:t>，满足</w:t>
            </w:r>
            <w:r>
              <w:rPr>
                <w:rFonts w:hint="default" w:ascii="Times New Roman" w:hAnsi="Times New Roman" w:cs="Times New Roman"/>
                <w:color w:val="auto"/>
                <w:sz w:val="24"/>
                <w:szCs w:val="24"/>
              </w:rPr>
              <w:t>《大气污染物综合排放标准》（GB16297-1996）</w:t>
            </w:r>
            <w:r>
              <w:rPr>
                <w:rFonts w:hint="default" w:ascii="Times New Roman" w:hAnsi="Times New Roman" w:cs="Times New Roman"/>
                <w:color w:val="auto"/>
                <w:sz w:val="24"/>
              </w:rPr>
              <w:t>表2中</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mg/</w:t>
            </w:r>
            <w:r>
              <w:rPr>
                <w:rFonts w:hint="default" w:ascii="Times New Roman" w:hAnsi="Times New Roman" w:cs="Times New Roman"/>
                <w:color w:val="auto"/>
                <w:sz w:val="24"/>
                <w:lang w:eastAsia="zh-CN"/>
              </w:rPr>
              <w:t>m³</w:t>
            </w:r>
            <w:r>
              <w:rPr>
                <w:rFonts w:hint="default" w:ascii="Times New Roman" w:hAnsi="Times New Roman" w:cs="Times New Roman"/>
                <w:color w:val="auto"/>
                <w:sz w:val="24"/>
              </w:rPr>
              <w:t>的要求</w:t>
            </w:r>
            <w:r>
              <w:rPr>
                <w:rFonts w:hint="default" w:ascii="Times New Roman" w:hAnsi="Times New Roman" w:cs="Times New Roman"/>
                <w:color w:val="auto"/>
                <w:sz w:val="24"/>
                <w:szCs w:val="24"/>
              </w:rPr>
              <w:t>，从而反映出项目厂界</w:t>
            </w:r>
            <w:r>
              <w:rPr>
                <w:rFonts w:hint="default" w:ascii="Times New Roman" w:hAnsi="Times New Roman" w:cs="Times New Roman"/>
                <w:color w:val="auto"/>
                <w:sz w:val="24"/>
                <w:szCs w:val="24"/>
                <w:lang w:val="en-US" w:eastAsia="zh-CN"/>
              </w:rPr>
              <w:t>二</w:t>
            </w:r>
            <w:r>
              <w:rPr>
                <w:rFonts w:hint="default" w:ascii="Times New Roman" w:hAnsi="Times New Roman" w:cs="Times New Roman"/>
                <w:bCs/>
                <w:color w:val="auto"/>
                <w:sz w:val="24"/>
                <w:szCs w:val="24"/>
              </w:rPr>
              <w:t>甲苯满足</w:t>
            </w:r>
            <w:r>
              <w:rPr>
                <w:rFonts w:hint="default" w:ascii="Times New Roman" w:hAnsi="Times New Roman" w:cs="Times New Roman"/>
                <w:color w:val="auto"/>
                <w:sz w:val="24"/>
                <w:szCs w:val="24"/>
              </w:rPr>
              <w:t>《大气污染物综合排放标准》（GB16297-1996）表2中</w:t>
            </w:r>
            <w:r>
              <w:rPr>
                <w:rFonts w:hint="default"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rPr>
              <w:t>mg/</w:t>
            </w:r>
            <w:r>
              <w:rPr>
                <w:rFonts w:hint="default" w:ascii="Times New Roman" w:hAnsi="Times New Roman" w:cs="Times New Roman"/>
                <w:color w:val="auto"/>
                <w:sz w:val="24"/>
                <w:szCs w:val="24"/>
                <w:lang w:eastAsia="zh-CN"/>
              </w:rPr>
              <w:t>m³</w:t>
            </w:r>
            <w:r>
              <w:rPr>
                <w:rFonts w:hint="default" w:ascii="Times New Roman" w:hAnsi="Times New Roman" w:cs="Times New Roman"/>
                <w:color w:val="auto"/>
                <w:sz w:val="24"/>
                <w:szCs w:val="24"/>
              </w:rPr>
              <w:t>的要求；</w:t>
            </w:r>
          </w:p>
          <w:p>
            <w:pPr>
              <w:pStyle w:val="18"/>
              <w:adjustRightInd w:val="0"/>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bCs/>
                <w:color w:val="auto"/>
                <w:sz w:val="24"/>
                <w:szCs w:val="24"/>
              </w:rPr>
              <w:t>项目无组织</w:t>
            </w:r>
            <w:r>
              <w:rPr>
                <w:rFonts w:hint="default" w:ascii="Times New Roman" w:hAnsi="Times New Roman" w:cs="Times New Roman"/>
                <w:color w:val="auto"/>
                <w:sz w:val="24"/>
                <w:szCs w:val="24"/>
              </w:rPr>
              <w:t>挥发性有机物（以非甲烷总烃计）最大落地浓度为496.6955μg/</w:t>
            </w:r>
            <w:r>
              <w:rPr>
                <w:rFonts w:hint="default" w:ascii="Times New Roman" w:hAnsi="Times New Roman" w:cs="Times New Roman"/>
                <w:color w:val="auto"/>
                <w:sz w:val="24"/>
                <w:szCs w:val="24"/>
                <w:lang w:eastAsia="zh-CN"/>
              </w:rPr>
              <w:t>m³</w:t>
            </w:r>
            <w:r>
              <w:rPr>
                <w:rFonts w:hint="default" w:ascii="Times New Roman" w:hAnsi="Times New Roman" w:cs="Times New Roman"/>
                <w:color w:val="auto"/>
                <w:sz w:val="24"/>
                <w:szCs w:val="24"/>
              </w:rPr>
              <w:t>，满足《大气污染物综合排放标准》（GB16297-1996）表2中4.0mg/</w:t>
            </w:r>
            <w:r>
              <w:rPr>
                <w:rFonts w:hint="default" w:ascii="Times New Roman" w:hAnsi="Times New Roman" w:cs="Times New Roman"/>
                <w:color w:val="auto"/>
                <w:sz w:val="24"/>
                <w:szCs w:val="24"/>
                <w:lang w:eastAsia="zh-CN"/>
              </w:rPr>
              <w:t>m³</w:t>
            </w:r>
            <w:r>
              <w:rPr>
                <w:rFonts w:hint="default" w:ascii="Times New Roman" w:hAnsi="Times New Roman" w:cs="Times New Roman"/>
                <w:color w:val="auto"/>
                <w:sz w:val="24"/>
                <w:szCs w:val="24"/>
              </w:rPr>
              <w:t>的要求，从而反映出项目厂界非甲烷总烃</w:t>
            </w:r>
            <w:r>
              <w:rPr>
                <w:rFonts w:hint="default" w:ascii="Times New Roman" w:hAnsi="Times New Roman" w:cs="Times New Roman"/>
                <w:bCs/>
                <w:color w:val="auto"/>
                <w:sz w:val="24"/>
                <w:szCs w:val="24"/>
              </w:rPr>
              <w:t>满足</w:t>
            </w:r>
            <w:r>
              <w:rPr>
                <w:rFonts w:hint="default" w:ascii="Times New Roman" w:hAnsi="Times New Roman" w:cs="Times New Roman"/>
                <w:color w:val="auto"/>
                <w:sz w:val="24"/>
                <w:szCs w:val="24"/>
              </w:rPr>
              <w:t>《大气污染物综合排放标准》（GB16297-1996）表2中</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.0mg/</w:t>
            </w:r>
            <w:r>
              <w:rPr>
                <w:rFonts w:hint="default" w:ascii="Times New Roman" w:hAnsi="Times New Roman" w:cs="Times New Roman"/>
                <w:color w:val="auto"/>
                <w:sz w:val="24"/>
                <w:szCs w:val="24"/>
                <w:lang w:eastAsia="zh-CN"/>
              </w:rPr>
              <w:t>m³</w:t>
            </w:r>
            <w:r>
              <w:rPr>
                <w:rFonts w:hint="default" w:ascii="Times New Roman" w:hAnsi="Times New Roman" w:cs="Times New Roman"/>
                <w:color w:val="auto"/>
                <w:sz w:val="24"/>
                <w:szCs w:val="24"/>
              </w:rPr>
              <w:t>的要求，同样满足《挥发性有机物无组织排放控制标准》（GB37822-2019）中相关要求。</w:t>
            </w:r>
          </w:p>
          <w:p>
            <w:pPr>
              <w:pStyle w:val="18"/>
              <w:adjustRightInd w:val="0"/>
              <w:ind w:firstLine="482" w:firstLineChars="200"/>
              <w:jc w:val="both"/>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3、非正常工况分析</w:t>
            </w:r>
          </w:p>
          <w:p>
            <w:pPr>
              <w:ind w:firstLine="480" w:firstLineChars="200"/>
              <w:rPr>
                <w:rFonts w:hint="default" w:ascii="Times New Roman" w:hAnsi="Times New Roman" w:cs="Times New Roman"/>
                <w:color w:val="auto"/>
                <w:kern w:val="0"/>
              </w:rPr>
            </w:pPr>
            <w:r>
              <w:rPr>
                <w:rFonts w:hint="default" w:ascii="Times New Roman" w:hAnsi="Times New Roman" w:cs="Times New Roman"/>
                <w:bCs/>
                <w:color w:val="auto"/>
                <w:kern w:val="0"/>
              </w:rPr>
              <w:t>本项目非正常工况主要为</w:t>
            </w:r>
            <w:r>
              <w:rPr>
                <w:rFonts w:hint="default" w:ascii="Times New Roman" w:hAnsi="Times New Roman" w:cs="Times New Roman"/>
                <w:bCs/>
                <w:color w:val="auto"/>
                <w:kern w:val="0"/>
                <w:lang w:val="en-US" w:eastAsia="zh-CN"/>
              </w:rPr>
              <w:t>活性炭吸附装置</w:t>
            </w:r>
            <w:r>
              <w:rPr>
                <w:rFonts w:hint="default" w:ascii="Times New Roman" w:hAnsi="Times New Roman" w:cs="Times New Roman"/>
                <w:bCs/>
                <w:color w:val="auto"/>
                <w:kern w:val="0"/>
              </w:rPr>
              <w:t>故障或检修，</w:t>
            </w:r>
            <w:r>
              <w:rPr>
                <w:rFonts w:hint="default" w:ascii="Times New Roman" w:hAnsi="Times New Roman" w:cs="Times New Roman"/>
                <w:color w:val="auto"/>
                <w:kern w:val="0"/>
              </w:rPr>
              <w:t>失去处理能力，按效率为0计，则项目非正常情况下</w:t>
            </w:r>
            <w:r>
              <w:rPr>
                <w:rFonts w:hint="default" w:ascii="Times New Roman" w:hAnsi="Times New Roman" w:cs="Times New Roman"/>
                <w:color w:val="auto"/>
                <w:kern w:val="0"/>
                <w:lang w:val="en-US" w:eastAsia="zh-CN"/>
              </w:rPr>
              <w:t>非甲烷总烃</w:t>
            </w:r>
            <w:r>
              <w:rPr>
                <w:rFonts w:hint="default" w:ascii="Times New Roman" w:hAnsi="Times New Roman" w:cs="Times New Roman"/>
                <w:color w:val="auto"/>
                <w:kern w:val="0"/>
              </w:rPr>
              <w:t>排放浓度为</w:t>
            </w:r>
            <w:r>
              <w:rPr>
                <w:rFonts w:hint="default" w:ascii="Times New Roman" w:hAnsi="Times New Roman" w:cs="Times New Roman"/>
                <w:color w:val="auto"/>
                <w:kern w:val="0"/>
                <w:lang w:val="en-US" w:eastAsia="zh-CN"/>
              </w:rPr>
              <w:t>84.8</w:t>
            </w:r>
            <w:r>
              <w:rPr>
                <w:rFonts w:hint="default" w:ascii="Times New Roman" w:hAnsi="Times New Roman" w:cs="Times New Roman"/>
                <w:color w:val="auto"/>
                <w:kern w:val="0"/>
              </w:rPr>
              <w:t>mg/</w:t>
            </w:r>
            <w:r>
              <w:rPr>
                <w:rFonts w:hint="default" w:ascii="Times New Roman" w:hAnsi="Times New Roman" w:cs="Times New Roman"/>
                <w:color w:val="auto"/>
                <w:kern w:val="0"/>
                <w:lang w:eastAsia="zh-CN"/>
              </w:rPr>
              <w:t>m³</w:t>
            </w:r>
            <w:r>
              <w:rPr>
                <w:rFonts w:hint="default" w:ascii="Times New Roman" w:hAnsi="Times New Roman" w:cs="Times New Roman"/>
                <w:color w:val="auto"/>
                <w:kern w:val="0"/>
              </w:rPr>
              <w:t>，排放速率为</w:t>
            </w:r>
            <w:r>
              <w:rPr>
                <w:rFonts w:hint="default" w:ascii="Times New Roman" w:hAnsi="Times New Roman" w:cs="Times New Roman"/>
                <w:color w:val="auto"/>
                <w:kern w:val="0"/>
                <w:lang w:val="en-US" w:eastAsia="zh-CN"/>
              </w:rPr>
              <w:t>2.12</w:t>
            </w:r>
            <w:r>
              <w:rPr>
                <w:rFonts w:hint="default" w:ascii="Times New Roman" w:hAnsi="Times New Roman" w:cs="Times New Roman"/>
                <w:color w:val="auto"/>
                <w:kern w:val="0"/>
              </w:rPr>
              <w:t>/h，</w:t>
            </w:r>
            <w:r>
              <w:rPr>
                <w:rFonts w:hint="default" w:ascii="Times New Roman" w:hAnsi="Times New Roman" w:cs="Times New Roman"/>
                <w:color w:val="auto"/>
              </w:rPr>
              <w:t>挥发性有机物（以非甲烷总烃计）</w:t>
            </w:r>
            <w:r>
              <w:rPr>
                <w:rFonts w:hint="default" w:ascii="Times New Roman" w:hAnsi="Times New Roman" w:cs="Times New Roman"/>
                <w:color w:val="auto"/>
                <w:kern w:val="0"/>
              </w:rPr>
              <w:t>排放浓度为67.38mg/</w:t>
            </w:r>
            <w:r>
              <w:rPr>
                <w:rFonts w:hint="default" w:ascii="Times New Roman" w:hAnsi="Times New Roman" w:cs="Times New Roman"/>
                <w:color w:val="auto"/>
                <w:kern w:val="0"/>
                <w:lang w:eastAsia="zh-CN"/>
              </w:rPr>
              <w:t>m³</w:t>
            </w:r>
            <w:r>
              <w:rPr>
                <w:rFonts w:hint="default" w:ascii="Times New Roman" w:hAnsi="Times New Roman" w:cs="Times New Roman"/>
                <w:color w:val="auto"/>
                <w:kern w:val="0"/>
              </w:rPr>
              <w:t>，排放速率为0.337kg/h。</w:t>
            </w:r>
          </w:p>
          <w:p>
            <w:pPr>
              <w:ind w:firstLine="480" w:firstLineChars="200"/>
              <w:rPr>
                <w:rFonts w:hint="default" w:ascii="Times New Roman" w:hAnsi="Times New Roman" w:cs="Times New Roman"/>
                <w:b/>
                <w:color w:val="auto"/>
                <w:kern w:val="0"/>
              </w:rPr>
            </w:pPr>
            <w:r>
              <w:rPr>
                <w:rFonts w:hint="default" w:ascii="Times New Roman" w:hAnsi="Times New Roman" w:cs="Times New Roman"/>
                <w:color w:val="auto"/>
                <w:kern w:val="0"/>
              </w:rPr>
              <w:t>有组织废气非正常排放，</w:t>
            </w:r>
            <w:r>
              <w:rPr>
                <w:rFonts w:hint="default" w:ascii="Times New Roman" w:hAnsi="Times New Roman" w:cs="Times New Roman"/>
                <w:color w:val="auto"/>
                <w:kern w:val="0"/>
                <w:lang w:val="en-US" w:eastAsia="zh-CN"/>
              </w:rPr>
              <w:t>非甲烷总烃</w:t>
            </w:r>
            <w:r>
              <w:rPr>
                <w:rFonts w:hint="default" w:ascii="Times New Roman" w:hAnsi="Times New Roman" w:cs="Times New Roman"/>
                <w:color w:val="auto"/>
                <w:kern w:val="0"/>
              </w:rPr>
              <w:t>排放浓度</w:t>
            </w:r>
            <w:r>
              <w:rPr>
                <w:rFonts w:hint="default" w:ascii="Times New Roman" w:hAnsi="Times New Roman" w:cs="Times New Roman"/>
                <w:color w:val="auto"/>
                <w:kern w:val="0"/>
                <w:lang w:val="en-US" w:eastAsia="zh-CN"/>
              </w:rPr>
              <w:t>虽然能</w:t>
            </w:r>
            <w:r>
              <w:rPr>
                <w:rFonts w:hint="default" w:ascii="Times New Roman" w:hAnsi="Times New Roman" w:cs="Times New Roman"/>
                <w:color w:val="auto"/>
                <w:kern w:val="0"/>
              </w:rPr>
              <w:t>满足《大气污染物综合排放标准》(GB16297-1996)中二级标准要求，会加大对周围环境的影响，项目应杜绝非正常排放，定期排查故障，如遇设施损坏，则立即停产检修。</w:t>
            </w:r>
          </w:p>
          <w:p>
            <w:pPr>
              <w:pStyle w:val="36"/>
              <w:bidi w:val="0"/>
              <w:rPr>
                <w:rFonts w:hint="default" w:ascii="Times New Roman" w:hAnsi="Times New Roman" w:cs="Times New Roman"/>
              </w:rPr>
            </w:pPr>
            <w:r>
              <w:rPr>
                <w:rFonts w:hint="default" w:ascii="Times New Roman" w:hAnsi="Times New Roman" w:cs="Times New Roman"/>
              </w:rPr>
              <w:t>表4-</w:t>
            </w:r>
            <w:r>
              <w:rPr>
                <w:rFonts w:hint="default" w:ascii="Times New Roman" w:hAnsi="Times New Roman" w:cs="Times New Roman"/>
                <w:lang w:val="en-US" w:eastAsia="zh-CN"/>
              </w:rPr>
              <w:t>8</w:t>
            </w:r>
            <w:r>
              <w:rPr>
                <w:rFonts w:hint="default" w:ascii="Times New Roman" w:hAnsi="Times New Roman" w:cs="Times New Roman"/>
              </w:rPr>
              <w:t>项目非正常排放情况表</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003"/>
              <w:gridCol w:w="1317"/>
              <w:gridCol w:w="1214"/>
              <w:gridCol w:w="829"/>
              <w:gridCol w:w="899"/>
              <w:gridCol w:w="923"/>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trPr>
              <w:tc>
                <w:tcPr>
                  <w:tcW w:w="689" w:type="pct"/>
                  <w:vAlign w:val="center"/>
                </w:tcPr>
                <w:p>
                  <w:pPr>
                    <w:pStyle w:val="45"/>
                    <w:bidi w:val="0"/>
                    <w:rPr>
                      <w:rFonts w:hint="default" w:ascii="Times New Roman" w:hAnsi="Times New Roman" w:cs="Times New Roman"/>
                    </w:rPr>
                  </w:pPr>
                  <w:r>
                    <w:rPr>
                      <w:rFonts w:hint="default" w:ascii="Times New Roman" w:hAnsi="Times New Roman" w:cs="Times New Roman"/>
                    </w:rPr>
                    <w:t>非正常排放源</w:t>
                  </w:r>
                </w:p>
              </w:tc>
              <w:tc>
                <w:tcPr>
                  <w:tcW w:w="623" w:type="pct"/>
                  <w:vAlign w:val="center"/>
                </w:tcPr>
                <w:p>
                  <w:pPr>
                    <w:pStyle w:val="45"/>
                    <w:bidi w:val="0"/>
                    <w:rPr>
                      <w:rFonts w:hint="default" w:ascii="Times New Roman" w:hAnsi="Times New Roman" w:cs="Times New Roman"/>
                    </w:rPr>
                  </w:pPr>
                  <w:r>
                    <w:rPr>
                      <w:rFonts w:hint="default" w:ascii="Times New Roman" w:hAnsi="Times New Roman" w:cs="Times New Roman"/>
                    </w:rPr>
                    <w:t>非正常排放原因</w:t>
                  </w:r>
                </w:p>
              </w:tc>
              <w:tc>
                <w:tcPr>
                  <w:tcW w:w="810" w:type="pct"/>
                  <w:vAlign w:val="center"/>
                </w:tcPr>
                <w:p>
                  <w:pPr>
                    <w:pStyle w:val="45"/>
                    <w:bidi w:val="0"/>
                    <w:rPr>
                      <w:rFonts w:hint="default" w:ascii="Times New Roman" w:hAnsi="Times New Roman" w:cs="Times New Roman"/>
                    </w:rPr>
                  </w:pPr>
                  <w:r>
                    <w:rPr>
                      <w:rFonts w:hint="default" w:ascii="Times New Roman" w:hAnsi="Times New Roman" w:cs="Times New Roman"/>
                    </w:rPr>
                    <w:t>污染物</w:t>
                  </w:r>
                </w:p>
              </w:tc>
              <w:tc>
                <w:tcPr>
                  <w:tcW w:w="689" w:type="pct"/>
                  <w:vAlign w:val="center"/>
                </w:tcPr>
                <w:p>
                  <w:pPr>
                    <w:pStyle w:val="45"/>
                    <w:bidi w:val="0"/>
                    <w:rPr>
                      <w:rFonts w:hint="default" w:ascii="Times New Roman" w:hAnsi="Times New Roman" w:cs="Times New Roman"/>
                    </w:rPr>
                  </w:pPr>
                  <w:r>
                    <w:rPr>
                      <w:rFonts w:hint="default" w:ascii="Times New Roman" w:hAnsi="Times New Roman" w:cs="Times New Roman"/>
                    </w:rPr>
                    <w:t>排放浓度（mg/</w:t>
                  </w:r>
                  <w:r>
                    <w:rPr>
                      <w:rFonts w:hint="default" w:ascii="Times New Roman" w:hAnsi="Times New Roman" w:cs="Times New Roman"/>
                      <w:lang w:eastAsia="zh-CN"/>
                    </w:rPr>
                    <w:t>m³</w:t>
                  </w:r>
                  <w:r>
                    <w:rPr>
                      <w:rFonts w:hint="default" w:ascii="Times New Roman" w:hAnsi="Times New Roman" w:cs="Times New Roman"/>
                    </w:rPr>
                    <w:t>）</w:t>
                  </w:r>
                </w:p>
              </w:tc>
              <w:tc>
                <w:tcPr>
                  <w:tcW w:w="519" w:type="pct"/>
                  <w:vAlign w:val="center"/>
                </w:tcPr>
                <w:p>
                  <w:pPr>
                    <w:pStyle w:val="45"/>
                    <w:bidi w:val="0"/>
                    <w:rPr>
                      <w:rFonts w:hint="default" w:ascii="Times New Roman" w:hAnsi="Times New Roman" w:cs="Times New Roman"/>
                    </w:rPr>
                  </w:pPr>
                  <w:r>
                    <w:rPr>
                      <w:rFonts w:hint="default" w:ascii="Times New Roman" w:hAnsi="Times New Roman" w:cs="Times New Roman"/>
                    </w:rPr>
                    <w:t>单次持续时间</w:t>
                  </w:r>
                </w:p>
              </w:tc>
              <w:tc>
                <w:tcPr>
                  <w:tcW w:w="510" w:type="pct"/>
                  <w:vAlign w:val="center"/>
                </w:tcPr>
                <w:p>
                  <w:pPr>
                    <w:pStyle w:val="45"/>
                    <w:bidi w:val="0"/>
                    <w:rPr>
                      <w:rFonts w:hint="default" w:ascii="Times New Roman" w:hAnsi="Times New Roman" w:cs="Times New Roman"/>
                    </w:rPr>
                  </w:pPr>
                  <w:r>
                    <w:rPr>
                      <w:rFonts w:hint="default" w:ascii="Times New Roman" w:hAnsi="Times New Roman" w:cs="Times New Roman"/>
                    </w:rPr>
                    <w:t>排放量（t）</w:t>
                  </w:r>
                </w:p>
              </w:tc>
              <w:tc>
                <w:tcPr>
                  <w:tcW w:w="575" w:type="pct"/>
                  <w:vAlign w:val="center"/>
                </w:tcPr>
                <w:p>
                  <w:pPr>
                    <w:pStyle w:val="45"/>
                    <w:bidi w:val="0"/>
                    <w:rPr>
                      <w:rFonts w:hint="default" w:ascii="Times New Roman" w:hAnsi="Times New Roman" w:cs="Times New Roman"/>
                    </w:rPr>
                  </w:pPr>
                  <w:r>
                    <w:rPr>
                      <w:rFonts w:hint="default" w:ascii="Times New Roman" w:hAnsi="Times New Roman" w:cs="Times New Roman"/>
                    </w:rPr>
                    <w:t>发生频次</w:t>
                  </w:r>
                </w:p>
              </w:tc>
              <w:tc>
                <w:tcPr>
                  <w:tcW w:w="582" w:type="pct"/>
                  <w:vAlign w:val="center"/>
                </w:tcPr>
                <w:p>
                  <w:pPr>
                    <w:pStyle w:val="45"/>
                    <w:bidi w:val="0"/>
                    <w:rPr>
                      <w:rFonts w:hint="default" w:ascii="Times New Roman" w:hAnsi="Times New Roman" w:cs="Times New Roman"/>
                    </w:rPr>
                  </w:pPr>
                  <w:r>
                    <w:rPr>
                      <w:rFonts w:hint="default" w:ascii="Times New Roman" w:hAnsi="Times New Roman" w:cs="Times New Roman"/>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blHeader/>
              </w:trPr>
              <w:tc>
                <w:tcPr>
                  <w:tcW w:w="689" w:type="pct"/>
                  <w:vAlign w:val="center"/>
                </w:tcPr>
                <w:p>
                  <w:pPr>
                    <w:pStyle w:val="45"/>
                    <w:bidi w:val="0"/>
                    <w:rPr>
                      <w:rFonts w:hint="default" w:ascii="Times New Roman" w:hAnsi="Times New Roman" w:cs="Times New Roman"/>
                    </w:rPr>
                  </w:pPr>
                  <w:r>
                    <w:rPr>
                      <w:rFonts w:hint="default" w:ascii="Times New Roman" w:hAnsi="Times New Roman" w:cs="Times New Roman"/>
                    </w:rPr>
                    <w:t>喷漆废气处理设施排气筒（DA001）</w:t>
                  </w:r>
                </w:p>
              </w:tc>
              <w:tc>
                <w:tcPr>
                  <w:tcW w:w="623" w:type="pct"/>
                  <w:vAlign w:val="center"/>
                </w:tcPr>
                <w:p>
                  <w:pPr>
                    <w:pStyle w:val="45"/>
                    <w:bidi w:val="0"/>
                    <w:rPr>
                      <w:rFonts w:hint="default" w:ascii="Times New Roman" w:hAnsi="Times New Roman" w:cs="Times New Roman"/>
                    </w:rPr>
                  </w:pPr>
                  <w:r>
                    <w:rPr>
                      <w:rFonts w:hint="default" w:ascii="Times New Roman" w:hAnsi="Times New Roman" w:cs="Times New Roman"/>
                    </w:rPr>
                    <w:t>设施故障、检修等</w:t>
                  </w:r>
                </w:p>
              </w:tc>
              <w:tc>
                <w:tcPr>
                  <w:tcW w:w="810" w:type="pct"/>
                  <w:vAlign w:val="center"/>
                </w:tcPr>
                <w:p>
                  <w:pPr>
                    <w:pStyle w:val="45"/>
                    <w:bidi w:val="0"/>
                    <w:rPr>
                      <w:rFonts w:hint="default" w:ascii="Times New Roman" w:hAnsi="Times New Roman" w:cs="Times New Roman"/>
                    </w:rPr>
                  </w:pPr>
                  <w:r>
                    <w:rPr>
                      <w:rFonts w:hint="default" w:ascii="Times New Roman" w:hAnsi="Times New Roman" w:cs="Times New Roman"/>
                    </w:rPr>
                    <w:t>挥发性有机物（以非甲烷总烃计）</w:t>
                  </w:r>
                </w:p>
              </w:tc>
              <w:tc>
                <w:tcPr>
                  <w:tcW w:w="689" w:type="pct"/>
                  <w:vAlign w:val="center"/>
                </w:tcPr>
                <w:p>
                  <w:pPr>
                    <w:pStyle w:val="4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84.8</w:t>
                  </w:r>
                </w:p>
              </w:tc>
              <w:tc>
                <w:tcPr>
                  <w:tcW w:w="519" w:type="pct"/>
                  <w:vAlign w:val="center"/>
                </w:tcPr>
                <w:p>
                  <w:pPr>
                    <w:pStyle w:val="45"/>
                    <w:bidi w:val="0"/>
                    <w:rPr>
                      <w:rFonts w:hint="default" w:ascii="Times New Roman" w:hAnsi="Times New Roman" w:cs="Times New Roman"/>
                    </w:rPr>
                  </w:pPr>
                  <w:r>
                    <w:rPr>
                      <w:rFonts w:hint="default" w:ascii="Times New Roman" w:hAnsi="Times New Roman" w:cs="Times New Roman"/>
                    </w:rPr>
                    <w:t>1h</w:t>
                  </w:r>
                </w:p>
              </w:tc>
              <w:tc>
                <w:tcPr>
                  <w:tcW w:w="510" w:type="pct"/>
                  <w:vAlign w:val="center"/>
                </w:tcPr>
                <w:p>
                  <w:pPr>
                    <w:pStyle w:val="4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0.00212</w:t>
                  </w:r>
                </w:p>
              </w:tc>
              <w:tc>
                <w:tcPr>
                  <w:tcW w:w="575" w:type="pct"/>
                  <w:vAlign w:val="center"/>
                </w:tcPr>
                <w:p>
                  <w:pPr>
                    <w:pStyle w:val="45"/>
                    <w:bidi w:val="0"/>
                    <w:rPr>
                      <w:rFonts w:hint="default" w:ascii="Times New Roman" w:hAnsi="Times New Roman" w:cs="Times New Roman"/>
                    </w:rPr>
                  </w:pPr>
                  <w:r>
                    <w:rPr>
                      <w:rFonts w:hint="default" w:ascii="Times New Roman" w:hAnsi="Times New Roman" w:cs="Times New Roman"/>
                    </w:rPr>
                    <w:t>1~2次/年</w:t>
                  </w:r>
                </w:p>
              </w:tc>
              <w:tc>
                <w:tcPr>
                  <w:tcW w:w="582" w:type="pct"/>
                  <w:vAlign w:val="center"/>
                </w:tcPr>
                <w:p>
                  <w:pPr>
                    <w:pStyle w:val="45"/>
                    <w:bidi w:val="0"/>
                    <w:rPr>
                      <w:rFonts w:hint="default" w:ascii="Times New Roman" w:hAnsi="Times New Roman" w:cs="Times New Roman"/>
                    </w:rPr>
                  </w:pPr>
                  <w:r>
                    <w:rPr>
                      <w:rFonts w:hint="default" w:ascii="Times New Roman" w:hAnsi="Times New Roman" w:cs="Times New Roman"/>
                    </w:rPr>
                    <w:t>停产检修</w:t>
                  </w:r>
                </w:p>
              </w:tc>
            </w:tr>
          </w:tbl>
          <w:p>
            <w:pPr>
              <w:bidi w:val="0"/>
              <w:rPr>
                <w:rFonts w:hint="default" w:ascii="Times New Roman" w:hAnsi="Times New Roman" w:cs="Times New Roman"/>
                <w:b/>
                <w:bCs/>
              </w:rPr>
            </w:pPr>
            <w:r>
              <w:rPr>
                <w:rFonts w:hint="default" w:ascii="Times New Roman" w:hAnsi="Times New Roman" w:cs="Times New Roman"/>
                <w:b/>
                <w:bCs/>
              </w:rPr>
              <w:t>4、废气环境影响分析</w:t>
            </w:r>
          </w:p>
          <w:p>
            <w:pPr>
              <w:bidi w:val="0"/>
              <w:rPr>
                <w:rFonts w:hint="default" w:ascii="Times New Roman" w:hAnsi="Times New Roman" w:cs="Times New Roman"/>
              </w:rPr>
            </w:pPr>
            <w:r>
              <w:rPr>
                <w:rFonts w:hint="default" w:ascii="Times New Roman" w:hAnsi="Times New Roman" w:cs="Times New Roman"/>
                <w:bCs/>
                <w:color w:val="auto"/>
                <w:sz w:val="24"/>
                <w:szCs w:val="24"/>
              </w:rPr>
              <w:t>项目大气污染物在采取环评提出的环保措施后，均可达标排放，并且排放强度远小于标准限值，项目区空气扩散条件也较好，污染物不会形成聚集污染。此外，项目挥发性有机物的排放还会伴随异味的影响，但本项目使用的涂料为水性涂料，挥发性有机物含量少，并且在密闭负压的环境中使用，最终设置了末端治理设施进行处理，无组织排放量极少，在经空气稀释扩散后对周围环境影响小。</w:t>
            </w:r>
          </w:p>
          <w:p>
            <w:pPr>
              <w:bidi w:val="0"/>
              <w:rPr>
                <w:rFonts w:hint="default" w:ascii="Times New Roman" w:hAnsi="Times New Roman" w:cs="Times New Roman"/>
                <w:b/>
                <w:bCs/>
              </w:rPr>
            </w:pPr>
            <w:r>
              <w:rPr>
                <w:rFonts w:hint="default" w:ascii="Times New Roman" w:hAnsi="Times New Roman" w:cs="Times New Roman"/>
                <w:b/>
                <w:bCs/>
              </w:rPr>
              <w:t>5、治理措施可行性分析</w:t>
            </w:r>
          </w:p>
          <w:p>
            <w:pPr>
              <w:bidi w:val="0"/>
              <w:rPr>
                <w:rFonts w:hint="default" w:ascii="Times New Roman" w:hAnsi="Times New Roman" w:cs="Times New Roman"/>
              </w:rPr>
            </w:pPr>
            <w:r>
              <w:rPr>
                <w:rFonts w:hint="default" w:ascii="Times New Roman" w:hAnsi="Times New Roman" w:cs="Times New Roman"/>
              </w:rPr>
              <w:t>由于项目所属玻璃制品制造行业无《排污许可申请与核发技术规范》，因此，项目涉及的密封工段产生的废气治理措施可行性分析参照《排放源统计调查产排污核算方法和系数手册》中的2646密封用填料及类似品制造行业系数手册中的末端治理技术为吸附/催化燃烧法36%。则本项目密封工段采用“</w:t>
            </w:r>
            <w:r>
              <w:rPr>
                <w:rFonts w:hint="default" w:ascii="Times New Roman" w:hAnsi="Times New Roman" w:cs="Times New Roman"/>
                <w:lang w:val="en-US" w:eastAsia="zh-CN"/>
              </w:rPr>
              <w:t>二级</w:t>
            </w:r>
            <w:r>
              <w:rPr>
                <w:rFonts w:hint="default" w:ascii="Times New Roman" w:hAnsi="Times New Roman" w:cs="Times New Roman"/>
              </w:rPr>
              <w:t>活性炭吸附设备处理效率为</w:t>
            </w:r>
            <w:r>
              <w:rPr>
                <w:rFonts w:hint="default" w:ascii="Times New Roman" w:hAnsi="Times New Roman" w:cs="Times New Roman"/>
                <w:lang w:val="en-US" w:eastAsia="zh-CN"/>
              </w:rPr>
              <w:t>60</w:t>
            </w:r>
            <w:r>
              <w:rPr>
                <w:rFonts w:hint="default" w:ascii="Times New Roman" w:hAnsi="Times New Roman" w:cs="Times New Roman"/>
              </w:rPr>
              <w:t>%，集气罩的收集效率为</w:t>
            </w:r>
            <w:r>
              <w:rPr>
                <w:rFonts w:hint="default" w:ascii="Times New Roman" w:hAnsi="Times New Roman" w:cs="Times New Roman"/>
                <w:lang w:val="en-US" w:eastAsia="zh-CN"/>
              </w:rPr>
              <w:t>90</w:t>
            </w:r>
            <w:r>
              <w:rPr>
                <w:rFonts w:hint="default" w:ascii="Times New Roman" w:hAnsi="Times New Roman" w:cs="Times New Roman"/>
              </w:rPr>
              <w:t>%，项目工作时间为8h/d，年工作天数为300天。</w:t>
            </w:r>
          </w:p>
          <w:p>
            <w:pPr>
              <w:bidi w:val="0"/>
              <w:rPr>
                <w:rFonts w:hint="default" w:ascii="Times New Roman" w:hAnsi="Times New Roman" w:cs="Times New Roman"/>
              </w:rPr>
            </w:pPr>
            <w:r>
              <w:rPr>
                <w:rFonts w:hint="default" w:ascii="Times New Roman" w:hAnsi="Times New Roman" w:cs="Times New Roman"/>
              </w:rPr>
              <w:t>①采用活性炭吸附有机废气的可行性分析</w:t>
            </w:r>
          </w:p>
          <w:p>
            <w:pPr>
              <w:bidi w:val="0"/>
              <w:rPr>
                <w:rFonts w:hint="default" w:ascii="Times New Roman" w:hAnsi="Times New Roman" w:cs="Times New Roman"/>
              </w:rPr>
            </w:pPr>
            <w:r>
              <w:rPr>
                <w:rFonts w:hint="default" w:ascii="Times New Roman" w:hAnsi="Times New Roman" w:cs="Times New Roman"/>
              </w:rPr>
              <w:t>由于活性炭固体表面上存在着未平衡和未饱和的分子引力或化学键力，因此当此固体表面与气体接触时，就能吸引气体分子，使其浓聚并保持在固体表面，利用固体表面的吸附能力，使废气与大表面的多孔性固体物质相接触，废气中的污染物被吸附在固体表面上，使其与气体混合物分离，达到净化目的，净化效率可达90%以上。由于活性炭不溶于有机溶剂，利用活性炭吸附有机溶剂不会产生二次污染，且项目有机废气产生量较小，对活性炭的需求量较小，因此，从处理效果和经济角度看，采用活性炭吸附项目产生的有机废气是可行性分析。</w:t>
            </w:r>
          </w:p>
          <w:p>
            <w:pPr>
              <w:bidi w:val="0"/>
              <w:rPr>
                <w:rFonts w:hint="default" w:ascii="Times New Roman" w:hAnsi="Times New Roman" w:cs="Times New Roman"/>
                <w:b/>
                <w:bCs/>
              </w:rPr>
            </w:pPr>
            <w:r>
              <w:rPr>
                <w:rFonts w:hint="default" w:ascii="Times New Roman" w:hAnsi="Times New Roman" w:cs="Times New Roman"/>
                <w:b/>
                <w:bCs/>
                <w:lang w:val="en-US" w:eastAsia="zh-CN"/>
              </w:rPr>
              <w:t>6</w:t>
            </w:r>
            <w:r>
              <w:rPr>
                <w:rFonts w:hint="default" w:ascii="Times New Roman" w:hAnsi="Times New Roman" w:cs="Times New Roman"/>
                <w:b/>
                <w:bCs/>
              </w:rPr>
              <w:t>、污染物排放量核算</w:t>
            </w:r>
          </w:p>
          <w:p>
            <w:pPr>
              <w:bidi w:val="0"/>
              <w:rPr>
                <w:rFonts w:hint="default" w:ascii="Times New Roman" w:hAnsi="Times New Roman" w:cs="Times New Roman"/>
              </w:rPr>
            </w:pPr>
            <w:r>
              <w:rPr>
                <w:rFonts w:hint="default" w:ascii="Times New Roman" w:hAnsi="Times New Roman" w:cs="Times New Roman"/>
              </w:rPr>
              <w:t>大气污染物排放量核算见表4-</w:t>
            </w:r>
            <w:r>
              <w:rPr>
                <w:rFonts w:hint="default" w:ascii="Times New Roman" w:hAnsi="Times New Roman" w:cs="Times New Roman"/>
                <w:lang w:val="en-US" w:eastAsia="zh-CN"/>
              </w:rPr>
              <w:t>9</w:t>
            </w:r>
            <w:r>
              <w:rPr>
                <w:rFonts w:hint="default" w:ascii="Times New Roman" w:hAnsi="Times New Roman" w:cs="Times New Roman"/>
              </w:rPr>
              <w:t>。</w:t>
            </w:r>
          </w:p>
          <w:p>
            <w:pPr>
              <w:pStyle w:val="36"/>
              <w:bidi w:val="0"/>
              <w:rPr>
                <w:rFonts w:hint="default" w:ascii="Times New Roman" w:hAnsi="Times New Roman" w:cs="Times New Roman"/>
              </w:rPr>
            </w:pPr>
            <w:r>
              <w:rPr>
                <w:rFonts w:hint="default" w:ascii="Times New Roman" w:hAnsi="Times New Roman" w:cs="Times New Roman"/>
              </w:rPr>
              <w:t>表4-</w:t>
            </w:r>
            <w:r>
              <w:rPr>
                <w:rFonts w:hint="default" w:ascii="Times New Roman" w:hAnsi="Times New Roman" w:cs="Times New Roman"/>
                <w:lang w:val="en-US" w:eastAsia="zh-CN"/>
              </w:rPr>
              <w:t>9</w:t>
            </w:r>
            <w:r>
              <w:rPr>
                <w:rFonts w:hint="default" w:ascii="Times New Roman" w:hAnsi="Times New Roman" w:cs="Times New Roman"/>
              </w:rPr>
              <w:t>大气污染物排放量核算表</w:t>
            </w:r>
          </w:p>
          <w:tbl>
            <w:tblPr>
              <w:tblStyle w:val="98"/>
              <w:tblW w:w="499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95"/>
              <w:gridCol w:w="1141"/>
              <w:gridCol w:w="1607"/>
              <w:gridCol w:w="1641"/>
              <w:gridCol w:w="1661"/>
              <w:gridCol w:w="15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3" w:hRule="atLeast"/>
              </w:trPr>
              <w:tc>
                <w:tcPr>
                  <w:tcW w:w="474"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序号</w:t>
                  </w:r>
                </w:p>
              </w:tc>
              <w:tc>
                <w:tcPr>
                  <w:tcW w:w="68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排放口编号</w:t>
                  </w:r>
                </w:p>
              </w:tc>
              <w:tc>
                <w:tcPr>
                  <w:tcW w:w="959"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污染物</w:t>
                  </w:r>
                </w:p>
              </w:tc>
              <w:tc>
                <w:tcPr>
                  <w:tcW w:w="979"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核算排放浓度</w:t>
                  </w:r>
                </w:p>
                <w:p>
                  <w:pPr>
                    <w:pStyle w:val="45"/>
                    <w:bidi w:val="0"/>
                    <w:jc w:val="center"/>
                    <w:rPr>
                      <w:rFonts w:hint="default" w:ascii="Times New Roman" w:hAnsi="Times New Roman" w:cs="Times New Roman"/>
                    </w:rPr>
                  </w:pPr>
                  <w:r>
                    <w:rPr>
                      <w:rFonts w:hint="default" w:ascii="Times New Roman" w:hAnsi="Times New Roman" w:cs="Times New Roman"/>
                    </w:rPr>
                    <w:t>（mg/m³)</w:t>
                  </w:r>
                </w:p>
              </w:tc>
              <w:tc>
                <w:tcPr>
                  <w:tcW w:w="99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核算排放速率</w:t>
                  </w:r>
                </w:p>
                <w:p>
                  <w:pPr>
                    <w:pStyle w:val="45"/>
                    <w:bidi w:val="0"/>
                    <w:jc w:val="center"/>
                    <w:rPr>
                      <w:rFonts w:hint="default" w:ascii="Times New Roman" w:hAnsi="Times New Roman" w:cs="Times New Roman"/>
                    </w:rPr>
                  </w:pPr>
                  <w:r>
                    <w:rPr>
                      <w:rFonts w:hint="default" w:ascii="Times New Roman" w:hAnsi="Times New Roman" w:cs="Times New Roman"/>
                    </w:rPr>
                    <w:t>（kg/h）</w:t>
                  </w:r>
                </w:p>
              </w:tc>
              <w:tc>
                <w:tcPr>
                  <w:tcW w:w="915"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核算排放量</w:t>
                  </w:r>
                </w:p>
                <w:p>
                  <w:pPr>
                    <w:pStyle w:val="45"/>
                    <w:bidi w:val="0"/>
                    <w:jc w:val="center"/>
                    <w:rPr>
                      <w:rFonts w:hint="default" w:ascii="Times New Roman" w:hAnsi="Times New Roman" w:cs="Times New Roman"/>
                    </w:rPr>
                  </w:pPr>
                  <w:r>
                    <w:rPr>
                      <w:rFonts w:hint="default" w:ascii="Times New Roman" w:hAnsi="Times New Roman" w:cs="Times New Roman"/>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000" w:type="pct"/>
                  <w:gridSpan w:val="6"/>
                  <w:vAlign w:val="center"/>
                </w:tcPr>
                <w:p>
                  <w:pPr>
                    <w:pStyle w:val="45"/>
                    <w:bidi w:val="0"/>
                    <w:jc w:val="center"/>
                    <w:rPr>
                      <w:rFonts w:hint="default" w:ascii="Times New Roman" w:hAnsi="Times New Roman" w:cs="Times New Roman"/>
                    </w:rPr>
                  </w:pPr>
                  <w:r>
                    <w:rPr>
                      <w:rFonts w:hint="default" w:ascii="Times New Roman" w:hAnsi="Times New Roman" w:cs="Times New Roman"/>
                    </w:rPr>
                    <w:t>一般排放口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474" w:type="pct"/>
                  <w:vMerge w:val="restart"/>
                  <w:tcBorders>
                    <w:bottom w:val="nil"/>
                  </w:tcBorders>
                  <w:vAlign w:val="center"/>
                </w:tcPr>
                <w:p>
                  <w:pPr>
                    <w:pStyle w:val="45"/>
                    <w:bidi w:val="0"/>
                    <w:jc w:val="center"/>
                    <w:rPr>
                      <w:rFonts w:hint="default" w:ascii="Times New Roman" w:hAnsi="Times New Roman" w:cs="Times New Roman"/>
                    </w:rPr>
                  </w:pPr>
                </w:p>
                <w:p>
                  <w:pPr>
                    <w:pStyle w:val="45"/>
                    <w:bidi w:val="0"/>
                    <w:jc w:val="center"/>
                    <w:rPr>
                      <w:rFonts w:hint="default" w:ascii="Times New Roman" w:hAnsi="Times New Roman" w:cs="Times New Roman"/>
                    </w:rPr>
                  </w:pPr>
                  <w:r>
                    <w:rPr>
                      <w:rFonts w:hint="default" w:ascii="Times New Roman" w:hAnsi="Times New Roman" w:cs="Times New Roman"/>
                    </w:rPr>
                    <w:t>1</w:t>
                  </w:r>
                </w:p>
              </w:tc>
              <w:tc>
                <w:tcPr>
                  <w:tcW w:w="680" w:type="pct"/>
                  <w:vMerge w:val="restart"/>
                  <w:tcBorders>
                    <w:bottom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DA001</w:t>
                  </w:r>
                </w:p>
              </w:tc>
              <w:tc>
                <w:tcPr>
                  <w:tcW w:w="959"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非甲烷总烃</w:t>
                  </w:r>
                </w:p>
              </w:tc>
              <w:tc>
                <w:tcPr>
                  <w:tcW w:w="979" w:type="pct"/>
                  <w:vAlign w:val="center"/>
                </w:tcPr>
                <w:p>
                  <w:pPr>
                    <w:pStyle w:val="45"/>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30.4</w:t>
                  </w:r>
                </w:p>
              </w:tc>
              <w:tc>
                <w:tcPr>
                  <w:tcW w:w="990" w:type="pct"/>
                  <w:vAlign w:val="center"/>
                </w:tcPr>
                <w:p>
                  <w:pPr>
                    <w:pStyle w:val="45"/>
                    <w:bidi w:val="0"/>
                    <w:jc w:val="center"/>
                    <w:rPr>
                      <w:rFonts w:hint="default" w:ascii="Times New Roman" w:hAnsi="Times New Roman" w:cs="Times New Roman"/>
                    </w:rPr>
                  </w:pPr>
                  <w:r>
                    <w:rPr>
                      <w:rFonts w:hint="default" w:ascii="Times New Roman" w:hAnsi="Times New Roman" w:eastAsia="宋体" w:cs="Times New Roman"/>
                      <w:bCs/>
                      <w:color w:val="auto"/>
                      <w:szCs w:val="18"/>
                      <w:lang w:val="en-US" w:eastAsia="zh-CN"/>
                    </w:rPr>
                    <w:t>0.76</w:t>
                  </w:r>
                </w:p>
              </w:tc>
              <w:tc>
                <w:tcPr>
                  <w:tcW w:w="915" w:type="pct"/>
                  <w:vAlign w:val="center"/>
                </w:tcPr>
                <w:p>
                  <w:pPr>
                    <w:pStyle w:val="45"/>
                    <w:bidi w:val="0"/>
                    <w:ind w:firstLine="0" w:firstLineChars="0"/>
                    <w:jc w:val="center"/>
                    <w:rPr>
                      <w:rFonts w:hint="default" w:ascii="Times New Roman" w:hAnsi="Times New Roman" w:cs="Times New Roman"/>
                    </w:rPr>
                  </w:pPr>
                  <w:r>
                    <w:rPr>
                      <w:rFonts w:hint="default" w:ascii="Times New Roman" w:hAnsi="Times New Roman" w:eastAsia="宋体" w:cs="Times New Roman"/>
                      <w:bCs/>
                      <w:color w:val="auto"/>
                      <w:szCs w:val="18"/>
                      <w:lang w:val="en-US" w:eastAsia="zh-CN"/>
                    </w:rPr>
                    <w:t>1.83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474" w:type="pct"/>
                  <w:vMerge w:val="continue"/>
                  <w:tcBorders>
                    <w:top w:val="nil"/>
                    <w:bottom w:val="nil"/>
                  </w:tcBorders>
                  <w:vAlign w:val="center"/>
                </w:tcPr>
                <w:p>
                  <w:pPr>
                    <w:pStyle w:val="45"/>
                    <w:bidi w:val="0"/>
                    <w:jc w:val="center"/>
                    <w:rPr>
                      <w:rFonts w:hint="default" w:ascii="Times New Roman" w:hAnsi="Times New Roman" w:cs="Times New Roman"/>
                    </w:rPr>
                  </w:pPr>
                </w:p>
              </w:tc>
              <w:tc>
                <w:tcPr>
                  <w:tcW w:w="680" w:type="pct"/>
                  <w:vMerge w:val="continue"/>
                  <w:tcBorders>
                    <w:top w:val="nil"/>
                    <w:bottom w:val="nil"/>
                  </w:tcBorders>
                  <w:vAlign w:val="center"/>
                </w:tcPr>
                <w:p>
                  <w:pPr>
                    <w:pStyle w:val="45"/>
                    <w:bidi w:val="0"/>
                    <w:jc w:val="center"/>
                    <w:rPr>
                      <w:rFonts w:hint="default" w:ascii="Times New Roman" w:hAnsi="Times New Roman" w:cs="Times New Roman"/>
                    </w:rPr>
                  </w:pPr>
                </w:p>
              </w:tc>
              <w:tc>
                <w:tcPr>
                  <w:tcW w:w="959"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甲苯</w:t>
                  </w:r>
                </w:p>
              </w:tc>
              <w:tc>
                <w:tcPr>
                  <w:tcW w:w="979" w:type="pct"/>
                  <w:vAlign w:val="center"/>
                </w:tcPr>
                <w:p>
                  <w:pPr>
                    <w:pStyle w:val="45"/>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1.5</w:t>
                  </w:r>
                </w:p>
              </w:tc>
              <w:tc>
                <w:tcPr>
                  <w:tcW w:w="990" w:type="pct"/>
                  <w:vAlign w:val="center"/>
                </w:tcPr>
                <w:p>
                  <w:pPr>
                    <w:pStyle w:val="45"/>
                    <w:bidi w:val="0"/>
                    <w:jc w:val="center"/>
                    <w:rPr>
                      <w:rFonts w:hint="default" w:ascii="Times New Roman" w:hAnsi="Times New Roman" w:cs="Times New Roman"/>
                    </w:rPr>
                  </w:pPr>
                  <w:r>
                    <w:rPr>
                      <w:rFonts w:hint="default" w:ascii="Times New Roman" w:hAnsi="Times New Roman" w:cs="Times New Roman"/>
                      <w:bCs/>
                      <w:color w:val="auto"/>
                      <w:szCs w:val="18"/>
                      <w:lang w:val="en-US" w:eastAsia="zh-CN"/>
                    </w:rPr>
                    <w:t>0.0375</w:t>
                  </w:r>
                </w:p>
              </w:tc>
              <w:tc>
                <w:tcPr>
                  <w:tcW w:w="915" w:type="pct"/>
                  <w:vAlign w:val="center"/>
                </w:tcPr>
                <w:p>
                  <w:pPr>
                    <w:pStyle w:val="45"/>
                    <w:bidi w:val="0"/>
                    <w:ind w:firstLine="0" w:firstLineChars="0"/>
                    <w:jc w:val="center"/>
                    <w:rPr>
                      <w:rFonts w:hint="default" w:ascii="Times New Roman" w:hAnsi="Times New Roman" w:cs="Times New Roman"/>
                    </w:rPr>
                  </w:pPr>
                  <w:r>
                    <w:rPr>
                      <w:rFonts w:hint="default" w:ascii="Times New Roman" w:hAnsi="Times New Roman" w:cs="Times New Roman"/>
                      <w:bCs/>
                      <w:color w:val="auto"/>
                      <w:szCs w:val="18"/>
                      <w:lang w:val="en-US" w:eastAsia="zh-CN"/>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474" w:type="pct"/>
                  <w:vMerge w:val="continue"/>
                  <w:tcBorders>
                    <w:top w:val="nil"/>
                  </w:tcBorders>
                  <w:vAlign w:val="center"/>
                </w:tcPr>
                <w:p>
                  <w:pPr>
                    <w:pStyle w:val="45"/>
                    <w:bidi w:val="0"/>
                    <w:jc w:val="center"/>
                    <w:rPr>
                      <w:rFonts w:hint="default" w:ascii="Times New Roman" w:hAnsi="Times New Roman" w:cs="Times New Roman"/>
                    </w:rPr>
                  </w:pPr>
                </w:p>
              </w:tc>
              <w:tc>
                <w:tcPr>
                  <w:tcW w:w="680" w:type="pct"/>
                  <w:vMerge w:val="continue"/>
                  <w:tcBorders>
                    <w:top w:val="nil"/>
                  </w:tcBorders>
                  <w:vAlign w:val="center"/>
                </w:tcPr>
                <w:p>
                  <w:pPr>
                    <w:pStyle w:val="45"/>
                    <w:bidi w:val="0"/>
                    <w:jc w:val="center"/>
                    <w:rPr>
                      <w:rFonts w:hint="default" w:ascii="Times New Roman" w:hAnsi="Times New Roman" w:cs="Times New Roman"/>
                    </w:rPr>
                  </w:pPr>
                </w:p>
              </w:tc>
              <w:tc>
                <w:tcPr>
                  <w:tcW w:w="959"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二甲苯</w:t>
                  </w:r>
                </w:p>
              </w:tc>
              <w:tc>
                <w:tcPr>
                  <w:tcW w:w="979" w:type="pct"/>
                  <w:vAlign w:val="center"/>
                </w:tcPr>
                <w:p>
                  <w:pPr>
                    <w:pStyle w:val="45"/>
                    <w:bidi w:val="0"/>
                    <w:jc w:val="center"/>
                    <w:rPr>
                      <w:rFonts w:hint="default" w:ascii="Times New Roman" w:hAnsi="Times New Roman" w:cs="Times New Roman"/>
                    </w:rPr>
                  </w:pPr>
                  <w:r>
                    <w:rPr>
                      <w:rFonts w:hint="default" w:ascii="Times New Roman" w:hAnsi="Times New Roman" w:cs="Times New Roman"/>
                      <w:lang w:val="en-US" w:eastAsia="zh-CN"/>
                    </w:rPr>
                    <w:t>1.5</w:t>
                  </w:r>
                </w:p>
              </w:tc>
              <w:tc>
                <w:tcPr>
                  <w:tcW w:w="990" w:type="pct"/>
                  <w:vAlign w:val="center"/>
                </w:tcPr>
                <w:p>
                  <w:pPr>
                    <w:pStyle w:val="45"/>
                    <w:bidi w:val="0"/>
                    <w:jc w:val="center"/>
                    <w:rPr>
                      <w:rFonts w:hint="default" w:ascii="Times New Roman" w:hAnsi="Times New Roman" w:cs="Times New Roman"/>
                    </w:rPr>
                  </w:pPr>
                  <w:r>
                    <w:rPr>
                      <w:rFonts w:hint="default" w:ascii="Times New Roman" w:hAnsi="Times New Roman" w:cs="Times New Roman"/>
                      <w:bCs/>
                      <w:color w:val="auto"/>
                      <w:szCs w:val="18"/>
                      <w:lang w:val="en-US" w:eastAsia="zh-CN"/>
                    </w:rPr>
                    <w:t>0.0375</w:t>
                  </w:r>
                </w:p>
              </w:tc>
              <w:tc>
                <w:tcPr>
                  <w:tcW w:w="915" w:type="pct"/>
                  <w:vAlign w:val="center"/>
                </w:tcPr>
                <w:p>
                  <w:pPr>
                    <w:pStyle w:val="45"/>
                    <w:bidi w:val="0"/>
                    <w:ind w:firstLine="0" w:firstLineChars="0"/>
                    <w:jc w:val="center"/>
                    <w:rPr>
                      <w:rFonts w:hint="default" w:ascii="Times New Roman" w:hAnsi="Times New Roman" w:cs="Times New Roman"/>
                    </w:rPr>
                  </w:pPr>
                  <w:r>
                    <w:rPr>
                      <w:rFonts w:hint="default" w:ascii="Times New Roman" w:hAnsi="Times New Roman" w:cs="Times New Roman"/>
                      <w:bCs/>
                      <w:color w:val="auto"/>
                      <w:szCs w:val="18"/>
                      <w:lang w:val="en-US" w:eastAsia="zh-CN"/>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55" w:type="pct"/>
                  <w:gridSpan w:val="2"/>
                  <w:vMerge w:val="restart"/>
                  <w:tcBorders>
                    <w:bottom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一般排放口合计</w:t>
                  </w:r>
                </w:p>
              </w:tc>
              <w:tc>
                <w:tcPr>
                  <w:tcW w:w="2929" w:type="pct"/>
                  <w:gridSpan w:val="3"/>
                  <w:vAlign w:val="center"/>
                </w:tcPr>
                <w:p>
                  <w:pPr>
                    <w:pStyle w:val="45"/>
                    <w:bidi w:val="0"/>
                    <w:jc w:val="center"/>
                    <w:rPr>
                      <w:rFonts w:hint="default" w:ascii="Times New Roman" w:hAnsi="Times New Roman" w:cs="Times New Roman"/>
                    </w:rPr>
                  </w:pPr>
                  <w:r>
                    <w:rPr>
                      <w:rFonts w:hint="default" w:ascii="Times New Roman" w:hAnsi="Times New Roman" w:cs="Times New Roman"/>
                    </w:rPr>
                    <w:t>非甲烷总烃</w:t>
                  </w:r>
                </w:p>
              </w:tc>
              <w:tc>
                <w:tcPr>
                  <w:tcW w:w="915" w:type="pct"/>
                  <w:vAlign w:val="center"/>
                </w:tcPr>
                <w:p>
                  <w:pPr>
                    <w:pStyle w:val="45"/>
                    <w:bidi w:val="0"/>
                    <w:ind w:firstLine="0" w:firstLineChars="0"/>
                    <w:jc w:val="center"/>
                    <w:rPr>
                      <w:rFonts w:hint="default" w:ascii="Times New Roman" w:hAnsi="Times New Roman" w:cs="Times New Roman"/>
                    </w:rPr>
                  </w:pPr>
                  <w:r>
                    <w:rPr>
                      <w:rFonts w:hint="default" w:ascii="Times New Roman" w:hAnsi="Times New Roman" w:eastAsia="宋体" w:cs="Times New Roman"/>
                      <w:bCs/>
                      <w:color w:val="auto"/>
                      <w:szCs w:val="18"/>
                      <w:lang w:val="en-US" w:eastAsia="zh-CN"/>
                    </w:rPr>
                    <w:t>1.83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55" w:type="pct"/>
                  <w:gridSpan w:val="2"/>
                  <w:vMerge w:val="continue"/>
                  <w:tcBorders>
                    <w:top w:val="nil"/>
                    <w:bottom w:val="nil"/>
                  </w:tcBorders>
                  <w:vAlign w:val="center"/>
                </w:tcPr>
                <w:p>
                  <w:pPr>
                    <w:pStyle w:val="45"/>
                    <w:bidi w:val="0"/>
                    <w:jc w:val="center"/>
                    <w:rPr>
                      <w:rFonts w:hint="default" w:ascii="Times New Roman" w:hAnsi="Times New Roman" w:cs="Times New Roman"/>
                    </w:rPr>
                  </w:pPr>
                </w:p>
              </w:tc>
              <w:tc>
                <w:tcPr>
                  <w:tcW w:w="2929" w:type="pct"/>
                  <w:gridSpan w:val="3"/>
                  <w:vAlign w:val="center"/>
                </w:tcPr>
                <w:p>
                  <w:pPr>
                    <w:pStyle w:val="45"/>
                    <w:bidi w:val="0"/>
                    <w:jc w:val="center"/>
                    <w:rPr>
                      <w:rFonts w:hint="default" w:ascii="Times New Roman" w:hAnsi="Times New Roman" w:cs="Times New Roman"/>
                    </w:rPr>
                  </w:pPr>
                  <w:r>
                    <w:rPr>
                      <w:rFonts w:hint="default" w:ascii="Times New Roman" w:hAnsi="Times New Roman" w:cs="Times New Roman"/>
                    </w:rPr>
                    <w:t>甲苯</w:t>
                  </w:r>
                </w:p>
              </w:tc>
              <w:tc>
                <w:tcPr>
                  <w:tcW w:w="915" w:type="pct"/>
                  <w:vAlign w:val="center"/>
                </w:tcPr>
                <w:p>
                  <w:pPr>
                    <w:pStyle w:val="45"/>
                    <w:bidi w:val="0"/>
                    <w:ind w:firstLine="0" w:firstLineChars="0"/>
                    <w:jc w:val="center"/>
                    <w:rPr>
                      <w:rFonts w:hint="default" w:ascii="Times New Roman" w:hAnsi="Times New Roman" w:cs="Times New Roman"/>
                    </w:rPr>
                  </w:pPr>
                  <w:r>
                    <w:rPr>
                      <w:rFonts w:hint="default" w:ascii="Times New Roman" w:hAnsi="Times New Roman" w:cs="Times New Roman"/>
                      <w:bCs/>
                      <w:color w:val="auto"/>
                      <w:szCs w:val="18"/>
                      <w:lang w:val="en-US" w:eastAsia="zh-CN"/>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155" w:type="pct"/>
                  <w:gridSpan w:val="2"/>
                  <w:vMerge w:val="continue"/>
                  <w:tcBorders>
                    <w:top w:val="nil"/>
                    <w:bottom w:val="nil"/>
                  </w:tcBorders>
                  <w:vAlign w:val="center"/>
                </w:tcPr>
                <w:p>
                  <w:pPr>
                    <w:pStyle w:val="45"/>
                    <w:bidi w:val="0"/>
                    <w:jc w:val="center"/>
                    <w:rPr>
                      <w:rFonts w:hint="default" w:ascii="Times New Roman" w:hAnsi="Times New Roman" w:cs="Times New Roman"/>
                    </w:rPr>
                  </w:pPr>
                </w:p>
              </w:tc>
              <w:tc>
                <w:tcPr>
                  <w:tcW w:w="2929" w:type="pct"/>
                  <w:gridSpan w:val="3"/>
                  <w:vAlign w:val="center"/>
                </w:tcPr>
                <w:p>
                  <w:pPr>
                    <w:pStyle w:val="45"/>
                    <w:bidi w:val="0"/>
                    <w:jc w:val="center"/>
                    <w:rPr>
                      <w:rFonts w:hint="default" w:ascii="Times New Roman" w:hAnsi="Times New Roman" w:cs="Times New Roman"/>
                    </w:rPr>
                  </w:pPr>
                  <w:r>
                    <w:rPr>
                      <w:rFonts w:hint="default" w:ascii="Times New Roman" w:hAnsi="Times New Roman" w:cs="Times New Roman"/>
                    </w:rPr>
                    <w:t>二甲苯</w:t>
                  </w:r>
                </w:p>
              </w:tc>
              <w:tc>
                <w:tcPr>
                  <w:tcW w:w="915" w:type="pct"/>
                  <w:vAlign w:val="center"/>
                </w:tcPr>
                <w:p>
                  <w:pPr>
                    <w:pStyle w:val="45"/>
                    <w:bidi w:val="0"/>
                    <w:ind w:firstLine="0" w:firstLineChars="0"/>
                    <w:jc w:val="center"/>
                    <w:rPr>
                      <w:rFonts w:hint="default" w:ascii="Times New Roman" w:hAnsi="Times New Roman" w:cs="Times New Roman"/>
                    </w:rPr>
                  </w:pPr>
                  <w:r>
                    <w:rPr>
                      <w:rFonts w:hint="default" w:ascii="Times New Roman" w:hAnsi="Times New Roman" w:cs="Times New Roman"/>
                      <w:bCs/>
                      <w:color w:val="auto"/>
                      <w:szCs w:val="18"/>
                      <w:lang w:val="en-US" w:eastAsia="zh-CN"/>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155" w:type="pct"/>
                  <w:gridSpan w:val="2"/>
                  <w:vMerge w:val="restart"/>
                  <w:tcBorders>
                    <w:top w:val="nil"/>
                  </w:tcBorders>
                  <w:vAlign w:val="center"/>
                </w:tcPr>
                <w:p>
                  <w:pPr>
                    <w:pStyle w:val="45"/>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无组织排</w:t>
                  </w:r>
                </w:p>
              </w:tc>
              <w:tc>
                <w:tcPr>
                  <w:tcW w:w="2929" w:type="pct"/>
                  <w:gridSpan w:val="3"/>
                  <w:vAlign w:val="center"/>
                </w:tcPr>
                <w:p>
                  <w:pPr>
                    <w:pStyle w:val="45"/>
                    <w:bidi w:val="0"/>
                    <w:ind w:firstLine="0" w:firstLineChars="0"/>
                    <w:jc w:val="center"/>
                    <w:rPr>
                      <w:rFonts w:hint="default" w:ascii="Times New Roman" w:hAnsi="Times New Roman" w:cs="Times New Roman"/>
                    </w:rPr>
                  </w:pPr>
                  <w:r>
                    <w:rPr>
                      <w:rFonts w:hint="default" w:ascii="Times New Roman" w:hAnsi="Times New Roman" w:cs="Times New Roman"/>
                    </w:rPr>
                    <w:t>非甲烷总烃</w:t>
                  </w:r>
                </w:p>
              </w:tc>
              <w:tc>
                <w:tcPr>
                  <w:tcW w:w="915" w:type="pct"/>
                  <w:vAlign w:val="center"/>
                </w:tcPr>
                <w:p>
                  <w:pPr>
                    <w:pStyle w:val="45"/>
                    <w:bidi w:val="0"/>
                    <w:ind w:firstLine="0" w:firstLineChars="0"/>
                    <w:jc w:val="center"/>
                    <w:rPr>
                      <w:rFonts w:hint="default" w:ascii="Times New Roman" w:hAnsi="Times New Roman" w:cs="Times New Roman"/>
                      <w:bCs/>
                      <w:color w:val="auto"/>
                      <w:szCs w:val="18"/>
                      <w:lang w:val="en-US" w:eastAsia="zh-CN"/>
                    </w:rPr>
                  </w:pPr>
                  <w:r>
                    <w:rPr>
                      <w:rFonts w:hint="default" w:ascii="Times New Roman" w:hAnsi="Times New Roman" w:cs="Times New Roman"/>
                      <w:bCs/>
                      <w:color w:val="auto"/>
                      <w:szCs w:val="18"/>
                      <w:lang w:val="en-US" w:eastAsia="zh-CN"/>
                    </w:rPr>
                    <w:t>0.0508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155" w:type="pct"/>
                  <w:gridSpan w:val="2"/>
                  <w:vMerge w:val="continue"/>
                  <w:vAlign w:val="center"/>
                </w:tcPr>
                <w:p>
                  <w:pPr>
                    <w:pStyle w:val="45"/>
                    <w:bidi w:val="0"/>
                    <w:jc w:val="center"/>
                    <w:rPr>
                      <w:rFonts w:hint="default" w:ascii="Times New Roman" w:hAnsi="Times New Roman" w:cs="Times New Roman"/>
                    </w:rPr>
                  </w:pPr>
                </w:p>
              </w:tc>
              <w:tc>
                <w:tcPr>
                  <w:tcW w:w="2929" w:type="pct"/>
                  <w:gridSpan w:val="3"/>
                  <w:vAlign w:val="center"/>
                </w:tcPr>
                <w:p>
                  <w:pPr>
                    <w:pStyle w:val="45"/>
                    <w:bidi w:val="0"/>
                    <w:ind w:firstLine="0" w:firstLineChars="0"/>
                    <w:jc w:val="center"/>
                    <w:rPr>
                      <w:rFonts w:hint="default" w:ascii="Times New Roman" w:hAnsi="Times New Roman" w:cs="Times New Roman"/>
                    </w:rPr>
                  </w:pPr>
                  <w:r>
                    <w:rPr>
                      <w:rFonts w:hint="default" w:ascii="Times New Roman" w:hAnsi="Times New Roman" w:cs="Times New Roman"/>
                    </w:rPr>
                    <w:t>甲苯</w:t>
                  </w:r>
                </w:p>
              </w:tc>
              <w:tc>
                <w:tcPr>
                  <w:tcW w:w="915" w:type="pct"/>
                  <w:vAlign w:val="center"/>
                </w:tcPr>
                <w:p>
                  <w:pPr>
                    <w:pStyle w:val="45"/>
                    <w:bidi w:val="0"/>
                    <w:ind w:firstLine="0" w:firstLineChars="0"/>
                    <w:jc w:val="center"/>
                    <w:rPr>
                      <w:rFonts w:hint="default" w:ascii="Times New Roman" w:hAnsi="Times New Roman" w:cs="Times New Roman"/>
                      <w:bCs/>
                      <w:color w:val="auto"/>
                      <w:szCs w:val="18"/>
                      <w:lang w:val="en-US" w:eastAsia="zh-CN"/>
                    </w:rPr>
                  </w:pPr>
                  <w:r>
                    <w:rPr>
                      <w:rFonts w:hint="default" w:ascii="Times New Roman" w:hAnsi="Times New Roman" w:cs="Times New Roman"/>
                      <w:bCs/>
                      <w:color w:val="auto"/>
                      <w:szCs w:val="18"/>
                      <w:lang w:val="en-US" w:eastAsia="zh-CN"/>
                    </w:rPr>
                    <w:t>0.025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155" w:type="pct"/>
                  <w:gridSpan w:val="2"/>
                  <w:vMerge w:val="continue"/>
                  <w:vAlign w:val="center"/>
                </w:tcPr>
                <w:p>
                  <w:pPr>
                    <w:pStyle w:val="45"/>
                    <w:bidi w:val="0"/>
                    <w:jc w:val="center"/>
                    <w:rPr>
                      <w:rFonts w:hint="default" w:ascii="Times New Roman" w:hAnsi="Times New Roman" w:cs="Times New Roman"/>
                    </w:rPr>
                  </w:pPr>
                </w:p>
              </w:tc>
              <w:tc>
                <w:tcPr>
                  <w:tcW w:w="2929" w:type="pct"/>
                  <w:gridSpan w:val="3"/>
                  <w:vAlign w:val="center"/>
                </w:tcPr>
                <w:p>
                  <w:pPr>
                    <w:pStyle w:val="45"/>
                    <w:bidi w:val="0"/>
                    <w:ind w:firstLine="0" w:firstLineChars="0"/>
                    <w:jc w:val="center"/>
                    <w:rPr>
                      <w:rFonts w:hint="default" w:ascii="Times New Roman" w:hAnsi="Times New Roman" w:cs="Times New Roman"/>
                    </w:rPr>
                  </w:pPr>
                  <w:r>
                    <w:rPr>
                      <w:rFonts w:hint="default" w:ascii="Times New Roman" w:hAnsi="Times New Roman" w:cs="Times New Roman"/>
                    </w:rPr>
                    <w:t>二甲苯</w:t>
                  </w:r>
                </w:p>
              </w:tc>
              <w:tc>
                <w:tcPr>
                  <w:tcW w:w="915" w:type="pct"/>
                  <w:vAlign w:val="center"/>
                </w:tcPr>
                <w:p>
                  <w:pPr>
                    <w:pStyle w:val="45"/>
                    <w:bidi w:val="0"/>
                    <w:ind w:firstLine="0" w:firstLineChars="0"/>
                    <w:jc w:val="center"/>
                    <w:rPr>
                      <w:rFonts w:hint="default" w:ascii="Times New Roman" w:hAnsi="Times New Roman" w:cs="Times New Roman"/>
                      <w:bCs/>
                      <w:color w:val="auto"/>
                      <w:szCs w:val="18"/>
                      <w:lang w:val="en-US" w:eastAsia="zh-CN"/>
                    </w:rPr>
                  </w:pPr>
                  <w:r>
                    <w:rPr>
                      <w:rFonts w:hint="default" w:ascii="Times New Roman" w:hAnsi="Times New Roman" w:cs="Times New Roman"/>
                      <w:bCs/>
                      <w:color w:val="auto"/>
                      <w:szCs w:val="18"/>
                      <w:lang w:val="en-US" w:eastAsia="zh-CN"/>
                    </w:rPr>
                    <w:t>0.025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155" w:type="pct"/>
                  <w:gridSpan w:val="2"/>
                  <w:vMerge w:val="restart"/>
                  <w:vAlign w:val="center"/>
                </w:tcPr>
                <w:p>
                  <w:pPr>
                    <w:pStyle w:val="45"/>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合计</w:t>
                  </w:r>
                </w:p>
              </w:tc>
              <w:tc>
                <w:tcPr>
                  <w:tcW w:w="4933" w:type="dxa"/>
                  <w:gridSpan w:val="3"/>
                  <w:vAlign w:val="center"/>
                </w:tcPr>
                <w:p>
                  <w:pPr>
                    <w:pStyle w:val="45"/>
                    <w:bidi w:val="0"/>
                    <w:ind w:firstLine="0" w:firstLineChars="0"/>
                    <w:jc w:val="center"/>
                    <w:rPr>
                      <w:rFonts w:hint="default" w:ascii="Times New Roman" w:hAnsi="Times New Roman" w:cs="Times New Roman"/>
                    </w:rPr>
                  </w:pPr>
                  <w:r>
                    <w:rPr>
                      <w:rFonts w:hint="default" w:ascii="Times New Roman" w:hAnsi="Times New Roman" w:cs="Times New Roman"/>
                    </w:rPr>
                    <w:t>非甲烷总烃</w:t>
                  </w:r>
                </w:p>
              </w:tc>
              <w:tc>
                <w:tcPr>
                  <w:tcW w:w="915" w:type="pct"/>
                  <w:vAlign w:val="center"/>
                </w:tcPr>
                <w:p>
                  <w:pPr>
                    <w:pStyle w:val="45"/>
                    <w:bidi w:val="0"/>
                    <w:ind w:firstLine="0" w:firstLineChars="0"/>
                    <w:jc w:val="center"/>
                    <w:rPr>
                      <w:rFonts w:hint="default" w:ascii="Times New Roman" w:hAnsi="Times New Roman" w:cs="Times New Roman"/>
                      <w:bCs/>
                      <w:color w:val="auto"/>
                      <w:szCs w:val="18"/>
                      <w:lang w:val="en-US" w:eastAsia="zh-CN"/>
                    </w:rPr>
                  </w:pPr>
                  <w:r>
                    <w:rPr>
                      <w:rFonts w:hint="default" w:ascii="Times New Roman" w:hAnsi="Times New Roman" w:cs="Times New Roman"/>
                      <w:bCs/>
                      <w:color w:val="auto"/>
                      <w:szCs w:val="18"/>
                      <w:lang w:val="en-US" w:eastAsia="zh-CN"/>
                    </w:rPr>
                    <w:t>1.8808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155" w:type="pct"/>
                  <w:gridSpan w:val="2"/>
                  <w:vMerge w:val="continue"/>
                  <w:vAlign w:val="center"/>
                </w:tcPr>
                <w:p>
                  <w:pPr>
                    <w:pStyle w:val="45"/>
                    <w:bidi w:val="0"/>
                    <w:jc w:val="center"/>
                    <w:rPr>
                      <w:rFonts w:hint="default" w:ascii="Times New Roman" w:hAnsi="Times New Roman" w:cs="Times New Roman"/>
                    </w:rPr>
                  </w:pPr>
                </w:p>
              </w:tc>
              <w:tc>
                <w:tcPr>
                  <w:tcW w:w="4933" w:type="dxa"/>
                  <w:gridSpan w:val="3"/>
                  <w:vAlign w:val="center"/>
                </w:tcPr>
                <w:p>
                  <w:pPr>
                    <w:pStyle w:val="45"/>
                    <w:bidi w:val="0"/>
                    <w:ind w:firstLine="0" w:firstLineChars="0"/>
                    <w:jc w:val="center"/>
                    <w:rPr>
                      <w:rFonts w:hint="default" w:ascii="Times New Roman" w:hAnsi="Times New Roman" w:cs="Times New Roman"/>
                    </w:rPr>
                  </w:pPr>
                  <w:r>
                    <w:rPr>
                      <w:rFonts w:hint="default" w:ascii="Times New Roman" w:hAnsi="Times New Roman" w:cs="Times New Roman"/>
                    </w:rPr>
                    <w:t>甲苯</w:t>
                  </w:r>
                </w:p>
              </w:tc>
              <w:tc>
                <w:tcPr>
                  <w:tcW w:w="915" w:type="pct"/>
                  <w:vAlign w:val="center"/>
                </w:tcPr>
                <w:p>
                  <w:pPr>
                    <w:pStyle w:val="45"/>
                    <w:bidi w:val="0"/>
                    <w:ind w:firstLine="0" w:firstLineChars="0"/>
                    <w:jc w:val="center"/>
                    <w:rPr>
                      <w:rFonts w:hint="default" w:ascii="Times New Roman" w:hAnsi="Times New Roman" w:cs="Times New Roman"/>
                      <w:bCs/>
                      <w:color w:val="auto"/>
                      <w:szCs w:val="18"/>
                      <w:lang w:val="en-US" w:eastAsia="zh-CN"/>
                    </w:rPr>
                  </w:pPr>
                  <w:r>
                    <w:rPr>
                      <w:rFonts w:hint="default" w:ascii="Times New Roman" w:hAnsi="Times New Roman" w:cs="Times New Roman"/>
                      <w:bCs/>
                      <w:color w:val="auto"/>
                      <w:szCs w:val="18"/>
                      <w:lang w:val="en-US" w:eastAsia="zh-CN"/>
                    </w:rPr>
                    <w:t>0.124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155" w:type="pct"/>
                  <w:gridSpan w:val="2"/>
                  <w:vMerge w:val="continue"/>
                  <w:vAlign w:val="center"/>
                </w:tcPr>
                <w:p>
                  <w:pPr>
                    <w:pStyle w:val="45"/>
                    <w:bidi w:val="0"/>
                    <w:jc w:val="center"/>
                    <w:rPr>
                      <w:rFonts w:hint="default" w:ascii="Times New Roman" w:hAnsi="Times New Roman" w:cs="Times New Roman"/>
                    </w:rPr>
                  </w:pPr>
                </w:p>
              </w:tc>
              <w:tc>
                <w:tcPr>
                  <w:tcW w:w="4933" w:type="dxa"/>
                  <w:gridSpan w:val="3"/>
                  <w:vAlign w:val="center"/>
                </w:tcPr>
                <w:p>
                  <w:pPr>
                    <w:pStyle w:val="45"/>
                    <w:bidi w:val="0"/>
                    <w:ind w:firstLine="0" w:firstLineChars="0"/>
                    <w:jc w:val="center"/>
                    <w:rPr>
                      <w:rFonts w:hint="default" w:ascii="Times New Roman" w:hAnsi="Times New Roman" w:cs="Times New Roman"/>
                    </w:rPr>
                  </w:pPr>
                  <w:r>
                    <w:rPr>
                      <w:rFonts w:hint="default" w:ascii="Times New Roman" w:hAnsi="Times New Roman" w:cs="Times New Roman"/>
                    </w:rPr>
                    <w:t>二甲苯</w:t>
                  </w:r>
                </w:p>
              </w:tc>
              <w:tc>
                <w:tcPr>
                  <w:tcW w:w="915" w:type="pct"/>
                  <w:vAlign w:val="center"/>
                </w:tcPr>
                <w:p>
                  <w:pPr>
                    <w:pStyle w:val="45"/>
                    <w:bidi w:val="0"/>
                    <w:ind w:firstLine="0" w:firstLineChars="0"/>
                    <w:jc w:val="center"/>
                    <w:rPr>
                      <w:rFonts w:hint="default" w:ascii="Times New Roman" w:hAnsi="Times New Roman" w:cs="Times New Roman"/>
                      <w:bCs/>
                      <w:color w:val="auto"/>
                      <w:szCs w:val="18"/>
                      <w:lang w:val="en-US" w:eastAsia="zh-CN"/>
                    </w:rPr>
                  </w:pPr>
                  <w:r>
                    <w:rPr>
                      <w:rFonts w:hint="default" w:ascii="Times New Roman" w:hAnsi="Times New Roman" w:cs="Times New Roman"/>
                      <w:bCs/>
                      <w:color w:val="auto"/>
                      <w:szCs w:val="18"/>
                      <w:lang w:val="en-US" w:eastAsia="zh-CN"/>
                    </w:rPr>
                    <w:t>0.124</w:t>
                  </w:r>
                </w:p>
              </w:tc>
            </w:tr>
          </w:tbl>
          <w:p>
            <w:pPr>
              <w:pStyle w:val="4"/>
              <w:keepNext w:val="0"/>
              <w:keepLines w:val="0"/>
              <w:ind w:firstLine="482"/>
              <w:rPr>
                <w:rFonts w:hint="default" w:ascii="Times New Roman" w:hAnsi="Times New Roman" w:cs="Times New Roman"/>
              </w:rPr>
            </w:pPr>
            <w:r>
              <w:rPr>
                <w:rFonts w:hint="default" w:ascii="Times New Roman" w:hAnsi="Times New Roman" w:cs="Times New Roman"/>
              </w:rPr>
              <w:t>（二）废水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（1）废水核算</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rPr>
            </w:pPr>
            <w:r>
              <w:rPr>
                <w:rFonts w:hint="default" w:ascii="Times New Roman" w:hAnsi="Times New Roman" w:cs="Times New Roman"/>
                <w:b/>
                <w:bCs/>
              </w:rPr>
              <w:t>1）生产废水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lang w:val="en-US" w:eastAsia="zh-CN"/>
              </w:rPr>
              <w:t>①</w:t>
            </w:r>
            <w:r>
              <w:rPr>
                <w:rFonts w:hint="default" w:ascii="Times New Roman" w:hAnsi="Times New Roman" w:cs="Times New Roman"/>
              </w:rPr>
              <w:t>中空玻璃的清洗用水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Cs w:val="21"/>
              </w:rPr>
            </w:pPr>
            <w:r>
              <w:rPr>
                <w:rFonts w:hint="default" w:ascii="Times New Roman" w:hAnsi="Times New Roman" w:cs="Times New Roman"/>
              </w:rPr>
              <w:t>中空玻璃在合片前，需对玻璃表面进行清洗，洗去玻璃表面的灰尘等杂质，不使用任何清洗剂，清洗废水的成分较简单，主要污染物为SS。清洗废水流入清洗废水流入机器自带的沉淀槽经静置沉淀后，</w:t>
            </w:r>
            <w:r>
              <w:rPr>
                <w:rFonts w:hint="default" w:ascii="Times New Roman" w:hAnsi="Times New Roman" w:cs="Times New Roman"/>
                <w:lang w:eastAsia="zh-CN"/>
              </w:rPr>
              <w:t>清洗水循环回用</w:t>
            </w:r>
            <w:r>
              <w:rPr>
                <w:rFonts w:hint="default" w:ascii="Times New Roman" w:hAnsi="Times New Roman" w:cs="Times New Roman"/>
              </w:rPr>
              <w:t>，下层玻璃粉末结块后捞出作为固废处置不外排。评价参考《排放源统计调查产排污核算方法和系数手册》304玻璃制造行业系数手册中的中空玻璃废水产污系数为0.0114吨/平方米-产品，则</w:t>
            </w:r>
            <w:r>
              <w:rPr>
                <w:rFonts w:hint="default" w:ascii="Times New Roman" w:hAnsi="Times New Roman" w:cs="Times New Roman"/>
                <w:spacing w:val="2"/>
                <w:szCs w:val="21"/>
              </w:rPr>
              <w:t>项目玻璃年产量为</w:t>
            </w:r>
            <w:r>
              <w:rPr>
                <w:rFonts w:hint="default" w:ascii="Times New Roman" w:hAnsi="Times New Roman" w:eastAsia="宋体" w:cs="Times New Roman"/>
                <w:spacing w:val="-7"/>
                <w:szCs w:val="21"/>
                <w:lang w:val="en-US" w:eastAsia="zh-CN"/>
              </w:rPr>
              <w:t>110</w:t>
            </w:r>
            <w:r>
              <w:rPr>
                <w:rFonts w:hint="default" w:ascii="Times New Roman" w:hAnsi="Times New Roman" w:cs="Times New Roman"/>
                <w:spacing w:val="-7"/>
                <w:szCs w:val="21"/>
              </w:rPr>
              <w:t>万</w:t>
            </w:r>
            <w:r>
              <w:rPr>
                <w:rFonts w:hint="default" w:ascii="Times New Roman" w:hAnsi="Times New Roman" w:eastAsia="宋体" w:cs="Times New Roman"/>
                <w:spacing w:val="-7"/>
                <w:szCs w:val="21"/>
                <w:lang w:eastAsia="zh-CN"/>
              </w:rPr>
              <w:t>㎡</w:t>
            </w:r>
            <w:r>
              <w:rPr>
                <w:rFonts w:hint="default" w:ascii="Times New Roman" w:hAnsi="Times New Roman" w:cs="Times New Roman"/>
                <w:spacing w:val="-7"/>
                <w:szCs w:val="21"/>
              </w:rPr>
              <w:t>，玻璃废水</w:t>
            </w:r>
            <w:r>
              <w:rPr>
                <w:rFonts w:hint="default" w:ascii="Times New Roman" w:hAnsi="Times New Roman" w:cs="Times New Roman"/>
                <w:spacing w:val="-7"/>
                <w:szCs w:val="21"/>
                <w:lang w:val="en-US" w:eastAsia="zh-CN"/>
              </w:rPr>
              <w:t>用水</w:t>
            </w:r>
            <w:r>
              <w:rPr>
                <w:rFonts w:hint="default" w:ascii="Times New Roman" w:hAnsi="Times New Roman" w:cs="Times New Roman"/>
                <w:spacing w:val="-7"/>
                <w:szCs w:val="21"/>
              </w:rPr>
              <w:t>量为</w:t>
            </w:r>
            <w:r>
              <w:rPr>
                <w:rFonts w:hint="default" w:ascii="Times New Roman" w:hAnsi="Times New Roman" w:eastAsia="宋体" w:cs="Times New Roman"/>
                <w:spacing w:val="-7"/>
                <w:szCs w:val="21"/>
                <w:lang w:val="en-US" w:eastAsia="zh-CN"/>
              </w:rPr>
              <w:t>12500</w:t>
            </w:r>
            <w:r>
              <w:rPr>
                <w:rFonts w:hint="default" w:ascii="Times New Roman" w:hAnsi="Times New Roman" w:eastAsia="宋体" w:cs="Times New Roman"/>
                <w:spacing w:val="-7"/>
                <w:szCs w:val="21"/>
                <w:lang w:eastAsia="zh-CN"/>
              </w:rPr>
              <w:t>m³</w:t>
            </w:r>
            <w:r>
              <w:rPr>
                <w:rFonts w:hint="default" w:ascii="Times New Roman" w:hAnsi="Times New Roman" w:eastAsia="Times New Roman" w:cs="Times New Roman"/>
                <w:spacing w:val="-7"/>
                <w:szCs w:val="21"/>
              </w:rPr>
              <w:t>/a</w:t>
            </w:r>
            <w:r>
              <w:rPr>
                <w:rFonts w:hint="default" w:ascii="Times New Roman" w:hAnsi="Times New Roman" w:cs="Times New Roman"/>
                <w:spacing w:val="-7"/>
                <w:szCs w:val="21"/>
              </w:rPr>
              <w:t>，</w:t>
            </w:r>
            <w:r>
              <w:rPr>
                <w:rFonts w:hint="default" w:ascii="Times New Roman" w:hAnsi="Times New Roman" w:eastAsia="宋体" w:cs="Times New Roman"/>
                <w:spacing w:val="-7"/>
                <w:szCs w:val="21"/>
                <w:lang w:val="en-US" w:eastAsia="zh-CN"/>
              </w:rPr>
              <w:t>41.8</w:t>
            </w:r>
            <w:r>
              <w:rPr>
                <w:rFonts w:hint="default" w:ascii="Times New Roman" w:hAnsi="Times New Roman" w:eastAsia="宋体" w:cs="Times New Roman"/>
                <w:spacing w:val="-7"/>
                <w:szCs w:val="21"/>
                <w:lang w:eastAsia="zh-CN"/>
              </w:rPr>
              <w:t>m³</w:t>
            </w:r>
            <w:r>
              <w:rPr>
                <w:rFonts w:hint="default" w:ascii="Times New Roman" w:hAnsi="Times New Roman" w:eastAsia="Times New Roman" w:cs="Times New Roman"/>
                <w:spacing w:val="-7"/>
                <w:szCs w:val="21"/>
              </w:rPr>
              <w:t>/d</w:t>
            </w:r>
            <w:r>
              <w:rPr>
                <w:rFonts w:hint="default" w:ascii="Times New Roman" w:hAnsi="Times New Roman" w:cs="Times New Roman"/>
                <w:spacing w:val="-7"/>
                <w:szCs w:val="21"/>
              </w:rPr>
              <w:t>。</w:t>
            </w:r>
            <w:r>
              <w:rPr>
                <w:rFonts w:hint="default" w:ascii="Times New Roman" w:hAnsi="Times New Roman" w:cs="Times New Roman"/>
                <w:spacing w:val="-2"/>
                <w:szCs w:val="21"/>
              </w:rPr>
              <w:t>须每天补充新鲜水</w:t>
            </w:r>
            <w:r>
              <w:rPr>
                <w:rFonts w:hint="default" w:ascii="Times New Roman" w:hAnsi="Times New Roman" w:cs="Times New Roman"/>
                <w:spacing w:val="-2"/>
                <w:szCs w:val="21"/>
                <w:lang w:val="en-US" w:eastAsia="zh-CN"/>
              </w:rPr>
              <w:t>2</w:t>
            </w:r>
            <w:r>
              <w:rPr>
                <w:rFonts w:hint="default" w:ascii="Times New Roman" w:hAnsi="Times New Roman" w:eastAsia="宋体" w:cs="Times New Roman"/>
                <w:spacing w:val="-2"/>
                <w:szCs w:val="21"/>
                <w:lang w:eastAsia="zh-CN"/>
              </w:rPr>
              <w:t>m³</w:t>
            </w:r>
            <w:r>
              <w:rPr>
                <w:rFonts w:hint="default" w:ascii="Times New Roman" w:hAnsi="Times New Roman" w:eastAsia="Times New Roman" w:cs="Times New Roman"/>
                <w:spacing w:val="-2"/>
                <w:szCs w:val="21"/>
              </w:rPr>
              <w:t>/d</w:t>
            </w:r>
            <w:r>
              <w:rPr>
                <w:rFonts w:hint="default" w:ascii="Times New Roman" w:hAnsi="Times New Roman" w:cs="Times New Roman"/>
                <w:spacing w:val="-2"/>
                <w:szCs w:val="21"/>
              </w:rPr>
              <w:t>，进入循</w:t>
            </w:r>
            <w:r>
              <w:rPr>
                <w:rFonts w:hint="default" w:ascii="Times New Roman" w:hAnsi="Times New Roman" w:cs="Times New Roman"/>
                <w:spacing w:val="-3"/>
                <w:szCs w:val="21"/>
              </w:rPr>
              <w:t>环水池的循环废水量为</w:t>
            </w:r>
            <w:r>
              <w:rPr>
                <w:rFonts w:hint="default" w:ascii="Times New Roman" w:hAnsi="Times New Roman" w:cs="Times New Roman"/>
                <w:spacing w:val="-3"/>
                <w:szCs w:val="21"/>
                <w:lang w:val="en-US" w:eastAsia="zh-CN"/>
              </w:rPr>
              <w:t>39.8</w:t>
            </w:r>
            <w:r>
              <w:rPr>
                <w:rFonts w:hint="default" w:ascii="Times New Roman" w:hAnsi="Times New Roman" w:eastAsia="宋体" w:cs="Times New Roman"/>
                <w:spacing w:val="-3"/>
                <w:szCs w:val="21"/>
                <w:lang w:eastAsia="zh-CN"/>
              </w:rPr>
              <w:t>m³</w:t>
            </w:r>
            <w:r>
              <w:rPr>
                <w:rFonts w:hint="default" w:ascii="Times New Roman" w:hAnsi="Times New Roman" w:eastAsia="Times New Roman" w:cs="Times New Roman"/>
                <w:spacing w:val="-3"/>
                <w:szCs w:val="21"/>
              </w:rPr>
              <w:t>/d</w:t>
            </w:r>
            <w:r>
              <w:rPr>
                <w:rFonts w:hint="default" w:ascii="Times New Roman" w:hAnsi="Times New Roman" w:cs="Times New Roman"/>
                <w:spacing w:val="-3"/>
                <w:szCs w:val="21"/>
              </w:rPr>
              <w:t>。</w:t>
            </w:r>
          </w:p>
          <w:p>
            <w:pPr>
              <w:bidi w:val="0"/>
              <w:rPr>
                <w:rFonts w:hint="default" w:ascii="Times New Roman" w:hAnsi="Times New Roman" w:cs="Times New Roman"/>
                <w:b/>
                <w:bCs/>
              </w:rPr>
            </w:pPr>
            <w:r>
              <w:rPr>
                <w:rFonts w:hint="default" w:ascii="Times New Roman" w:hAnsi="Times New Roman" w:cs="Times New Roman"/>
                <w:b/>
                <w:bCs/>
              </w:rPr>
              <w:t>2）生活污水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项目投入运营后每天的厂区工作人员约30人，全部在项目区内食宿，生活用水参考GB53/T168-2019《云南省地方标准用水定额》标准，职工生活用水量按每人每天100L计（其他生活用水占80%，食堂用水占20%），年生产天数按300天计，则总用水量为3</w:t>
            </w:r>
            <w:r>
              <w:rPr>
                <w:rFonts w:hint="default" w:ascii="Times New Roman" w:hAnsi="Times New Roman" w:cs="Times New Roman"/>
                <w:lang w:eastAsia="zh-CN"/>
              </w:rPr>
              <w:t>m³</w:t>
            </w:r>
            <w:r>
              <w:rPr>
                <w:rFonts w:hint="default" w:ascii="Times New Roman" w:hAnsi="Times New Roman" w:cs="Times New Roman"/>
              </w:rPr>
              <w:t>/d（900</w:t>
            </w:r>
            <w:r>
              <w:rPr>
                <w:rFonts w:hint="default" w:ascii="Times New Roman" w:hAnsi="Times New Roman" w:cs="Times New Roman"/>
                <w:lang w:eastAsia="zh-CN"/>
              </w:rPr>
              <w:t>m³</w:t>
            </w:r>
            <w:r>
              <w:rPr>
                <w:rFonts w:hint="default" w:ascii="Times New Roman" w:hAnsi="Times New Roman" w:cs="Times New Roman"/>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①其中生活用水量为2.4</w:t>
            </w:r>
            <w:r>
              <w:rPr>
                <w:rFonts w:hint="default" w:ascii="Times New Roman" w:hAnsi="Times New Roman" w:cs="Times New Roman"/>
                <w:lang w:eastAsia="zh-CN"/>
              </w:rPr>
              <w:t>m³</w:t>
            </w:r>
            <w:r>
              <w:rPr>
                <w:rFonts w:hint="default" w:ascii="Times New Roman" w:hAnsi="Times New Roman" w:cs="Times New Roman"/>
              </w:rPr>
              <w:t>/d（720</w:t>
            </w:r>
            <w:r>
              <w:rPr>
                <w:rFonts w:hint="default" w:ascii="Times New Roman" w:hAnsi="Times New Roman" w:cs="Times New Roman"/>
                <w:lang w:eastAsia="zh-CN"/>
              </w:rPr>
              <w:t>m³</w:t>
            </w:r>
            <w:r>
              <w:rPr>
                <w:rFonts w:hint="default" w:ascii="Times New Roman" w:hAnsi="Times New Roman" w:cs="Times New Roman"/>
              </w:rPr>
              <w:t>/a）。生活污水产污系数按照0.8计，则职工生活污水产生量为1.92</w:t>
            </w:r>
            <w:r>
              <w:rPr>
                <w:rFonts w:hint="default" w:ascii="Times New Roman" w:hAnsi="Times New Roman" w:cs="Times New Roman"/>
                <w:lang w:eastAsia="zh-CN"/>
              </w:rPr>
              <w:t>m³</w:t>
            </w:r>
            <w:r>
              <w:rPr>
                <w:rFonts w:hint="default" w:ascii="Times New Roman" w:hAnsi="Times New Roman" w:cs="Times New Roman"/>
              </w:rPr>
              <w:t>/d（576</w:t>
            </w:r>
            <w:r>
              <w:rPr>
                <w:rFonts w:hint="default" w:ascii="Times New Roman" w:hAnsi="Times New Roman" w:cs="Times New Roman"/>
                <w:lang w:eastAsia="zh-CN"/>
              </w:rPr>
              <w:t>m³</w:t>
            </w:r>
            <w:r>
              <w:rPr>
                <w:rFonts w:hint="default" w:ascii="Times New Roman" w:hAnsi="Times New Roman" w:cs="Times New Roman"/>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②其中食堂用水量为0.6</w:t>
            </w:r>
            <w:r>
              <w:rPr>
                <w:rFonts w:hint="default" w:ascii="Times New Roman" w:hAnsi="Times New Roman" w:cs="Times New Roman"/>
                <w:lang w:eastAsia="zh-CN"/>
              </w:rPr>
              <w:t>m³</w:t>
            </w:r>
            <w:r>
              <w:rPr>
                <w:rFonts w:hint="default" w:ascii="Times New Roman" w:hAnsi="Times New Roman" w:cs="Times New Roman"/>
              </w:rPr>
              <w:t>/d（180</w:t>
            </w:r>
            <w:r>
              <w:rPr>
                <w:rFonts w:hint="default" w:ascii="Times New Roman" w:hAnsi="Times New Roman" w:cs="Times New Roman"/>
                <w:lang w:eastAsia="zh-CN"/>
              </w:rPr>
              <w:t>m³</w:t>
            </w:r>
            <w:r>
              <w:rPr>
                <w:rFonts w:hint="default" w:ascii="Times New Roman" w:hAnsi="Times New Roman" w:cs="Times New Roman"/>
              </w:rPr>
              <w:t>/a）。食堂污水的产污系数按照0.8计，则食堂用水为0.48</w:t>
            </w:r>
            <w:r>
              <w:rPr>
                <w:rFonts w:hint="default" w:ascii="Times New Roman" w:hAnsi="Times New Roman" w:cs="Times New Roman"/>
                <w:lang w:eastAsia="zh-CN"/>
              </w:rPr>
              <w:t>m³</w:t>
            </w:r>
            <w:r>
              <w:rPr>
                <w:rFonts w:hint="default" w:ascii="Times New Roman" w:hAnsi="Times New Roman" w:cs="Times New Roman"/>
              </w:rPr>
              <w:t>/d（144</w:t>
            </w:r>
            <w:r>
              <w:rPr>
                <w:rFonts w:hint="default" w:ascii="Times New Roman" w:hAnsi="Times New Roman" w:cs="Times New Roman"/>
                <w:lang w:eastAsia="zh-CN"/>
              </w:rPr>
              <w:t>m³</w:t>
            </w:r>
            <w:r>
              <w:rPr>
                <w:rFonts w:hint="default" w:ascii="Times New Roman" w:hAnsi="Times New Roman" w:cs="Times New Roman"/>
              </w:rPr>
              <w:t>/a）。</w:t>
            </w:r>
          </w:p>
          <w:p>
            <w:pPr>
              <w:ind w:firstLine="482"/>
              <w:rPr>
                <w:rFonts w:hint="default" w:ascii="Times New Roman" w:hAnsi="Times New Roman" w:cs="Times New Roman"/>
              </w:rPr>
            </w:pPr>
            <w:r>
              <w:rPr>
                <w:rFonts w:hint="default" w:ascii="Times New Roman" w:hAnsi="Times New Roman" w:cs="Times New Roman"/>
              </w:rPr>
              <w:t>食堂废水先经</w:t>
            </w:r>
            <w:r>
              <w:rPr>
                <w:rFonts w:hint="eastAsia" w:cs="Times New Roman"/>
                <w:lang w:eastAsia="zh-CN"/>
              </w:rPr>
              <w:t>油水分离器</w:t>
            </w:r>
            <w:r>
              <w:rPr>
                <w:rFonts w:hint="default" w:ascii="Times New Roman" w:hAnsi="Times New Roman" w:cs="Times New Roman"/>
              </w:rPr>
              <w:t>处理后与其他职工生活污水排入依托</w:t>
            </w:r>
            <w:r>
              <w:rPr>
                <w:rFonts w:hint="default" w:ascii="Times New Roman" w:hAnsi="Times New Roman" w:cs="Times New Roman"/>
                <w:lang w:eastAsia="zh-CN"/>
              </w:rPr>
              <w:t>云南鑫成鹏高分子科技有限公司</w:t>
            </w:r>
            <w:r>
              <w:rPr>
                <w:rFonts w:hint="default" w:ascii="Times New Roman" w:hAnsi="Times New Roman" w:cs="Times New Roman"/>
              </w:rPr>
              <w:t>3号厂房的化粪池处理，项目废水主要是生活污水，含有的污染物主要是CODcr、BOD</w:t>
            </w:r>
            <w:r>
              <w:rPr>
                <w:rFonts w:hint="default" w:ascii="Times New Roman" w:hAnsi="Times New Roman" w:cs="Times New Roman"/>
                <w:vertAlign w:val="subscript"/>
              </w:rPr>
              <w:t>5</w:t>
            </w:r>
            <w:r>
              <w:rPr>
                <w:rFonts w:hint="default" w:ascii="Times New Roman" w:hAnsi="Times New Roman" w:cs="Times New Roman"/>
              </w:rPr>
              <w:t>、SS、氨氮、动植物油和总磷，根据《我国城市生活污水水质统计数据》，各种污染物的产生浓度分别为CODcr：400mg/L，BOD</w:t>
            </w:r>
            <w:r>
              <w:rPr>
                <w:rFonts w:hint="default" w:ascii="Times New Roman" w:hAnsi="Times New Roman" w:cs="Times New Roman"/>
                <w:vertAlign w:val="subscript"/>
              </w:rPr>
              <w:t>5</w:t>
            </w:r>
            <w:r>
              <w:rPr>
                <w:rFonts w:hint="default" w:ascii="Times New Roman" w:hAnsi="Times New Roman" w:cs="Times New Roman"/>
              </w:rPr>
              <w:t>：220mg/L，SS：300mg/L，NH</w:t>
            </w:r>
            <w:r>
              <w:rPr>
                <w:rFonts w:hint="default" w:ascii="Times New Roman" w:hAnsi="Times New Roman" w:cs="Times New Roman"/>
                <w:vertAlign w:val="subscript"/>
              </w:rPr>
              <w:t>3</w:t>
            </w:r>
            <w:r>
              <w:rPr>
                <w:rFonts w:hint="default" w:ascii="Times New Roman" w:hAnsi="Times New Roman" w:cs="Times New Roman"/>
              </w:rPr>
              <w:t>-N：20mg/L，动植物油：50mg/L，TP：7mg/L</w:t>
            </w:r>
          </w:p>
          <w:p>
            <w:pPr>
              <w:bidi w:val="0"/>
              <w:rPr>
                <w:rFonts w:hint="default" w:ascii="Times New Roman" w:hAnsi="Times New Roman" w:cs="Times New Roman"/>
              </w:rPr>
            </w:pPr>
            <w:r>
              <w:rPr>
                <w:rFonts w:hint="default" w:ascii="Times New Roman" w:hAnsi="Times New Roman" w:cs="Times New Roman"/>
              </w:rPr>
              <w:t>本项目生活总用水量约为3</w:t>
            </w:r>
            <w:r>
              <w:rPr>
                <w:rFonts w:hint="default" w:ascii="Times New Roman" w:hAnsi="Times New Roman" w:cs="Times New Roman"/>
                <w:lang w:eastAsia="zh-CN"/>
              </w:rPr>
              <w:t>m³</w:t>
            </w:r>
            <w:r>
              <w:rPr>
                <w:rFonts w:hint="default" w:ascii="Times New Roman" w:hAnsi="Times New Roman" w:cs="Times New Roman"/>
              </w:rPr>
              <w:t>/d，900</w:t>
            </w:r>
            <w:r>
              <w:rPr>
                <w:rFonts w:hint="default" w:ascii="Times New Roman" w:hAnsi="Times New Roman" w:cs="Times New Roman"/>
                <w:lang w:eastAsia="zh-CN"/>
              </w:rPr>
              <w:t>m³</w:t>
            </w:r>
            <w:r>
              <w:rPr>
                <w:rFonts w:hint="default" w:ascii="Times New Roman" w:hAnsi="Times New Roman" w:cs="Times New Roman"/>
              </w:rPr>
              <w:t>/a；本项目污水产生量为2.4</w:t>
            </w:r>
            <w:r>
              <w:rPr>
                <w:rFonts w:hint="default" w:ascii="Times New Roman" w:hAnsi="Times New Roman" w:cs="Times New Roman"/>
                <w:lang w:eastAsia="zh-CN"/>
              </w:rPr>
              <w:t>m³</w:t>
            </w:r>
            <w:r>
              <w:rPr>
                <w:rFonts w:hint="default" w:ascii="Times New Roman" w:hAnsi="Times New Roman" w:cs="Times New Roman"/>
              </w:rPr>
              <w:t>/d，720</w:t>
            </w:r>
            <w:r>
              <w:rPr>
                <w:rFonts w:hint="default" w:ascii="Times New Roman" w:hAnsi="Times New Roman" w:cs="Times New Roman"/>
                <w:lang w:eastAsia="zh-CN"/>
              </w:rPr>
              <w:t>m³</w:t>
            </w:r>
            <w:r>
              <w:rPr>
                <w:rFonts w:hint="default" w:ascii="Times New Roman" w:hAnsi="Times New Roman" w:cs="Times New Roman"/>
              </w:rPr>
              <w:t>/a。</w:t>
            </w:r>
          </w:p>
          <w:p>
            <w:pPr>
              <w:bidi w:val="0"/>
              <w:rPr>
                <w:rFonts w:hint="default" w:ascii="Times New Roman" w:hAnsi="Times New Roman" w:cs="Times New Roman"/>
              </w:rPr>
            </w:pPr>
            <w:r>
              <w:rPr>
                <w:rFonts w:hint="default" w:ascii="Times New Roman" w:hAnsi="Times New Roman" w:cs="Times New Roman"/>
              </w:rPr>
              <w:t>本项目设食宿，动植物油在</w:t>
            </w:r>
            <w:r>
              <w:rPr>
                <w:rFonts w:hint="eastAsia" w:cs="Times New Roman"/>
                <w:lang w:eastAsia="zh-CN"/>
              </w:rPr>
              <w:t>油水分离器</w:t>
            </w:r>
            <w:r>
              <w:rPr>
                <w:rFonts w:hint="default" w:ascii="Times New Roman" w:hAnsi="Times New Roman" w:cs="Times New Roman"/>
              </w:rPr>
              <w:t>的处理效率约为65％。依据《城镇生活源产排污系数手册》，生活污水经化粪池处理效率为CODcr：15%，BOD</w:t>
            </w:r>
            <w:r>
              <w:rPr>
                <w:rFonts w:hint="default" w:ascii="Times New Roman" w:hAnsi="Times New Roman" w:cs="Times New Roman"/>
                <w:vertAlign w:val="subscript"/>
              </w:rPr>
              <w:t>5</w:t>
            </w:r>
            <w:r>
              <w:rPr>
                <w:rFonts w:hint="default" w:ascii="Times New Roman" w:hAnsi="Times New Roman" w:cs="Times New Roman"/>
              </w:rPr>
              <w:t>：10%，NH</w:t>
            </w:r>
            <w:r>
              <w:rPr>
                <w:rFonts w:hint="default" w:ascii="Times New Roman" w:hAnsi="Times New Roman" w:cs="Times New Roman"/>
                <w:vertAlign w:val="subscript"/>
              </w:rPr>
              <w:t>3</w:t>
            </w:r>
            <w:r>
              <w:rPr>
                <w:rFonts w:hint="default" w:ascii="Times New Roman" w:hAnsi="Times New Roman" w:cs="Times New Roman"/>
              </w:rPr>
              <w:t>-N：3%，SS：30%，TP：6%。</w:t>
            </w:r>
          </w:p>
          <w:p>
            <w:pPr>
              <w:bidi w:val="0"/>
              <w:rPr>
                <w:rFonts w:hint="default" w:ascii="Times New Roman" w:hAnsi="Times New Roman" w:cs="Times New Roman"/>
                <w:sz w:val="24"/>
                <w:szCs w:val="24"/>
              </w:rPr>
            </w:pPr>
            <w:r>
              <w:rPr>
                <w:rFonts w:hint="default" w:ascii="Times New Roman" w:hAnsi="Times New Roman" w:cs="Times New Roman"/>
              </w:rPr>
              <w:t>项目产生的食堂废水先经</w:t>
            </w:r>
            <w:r>
              <w:rPr>
                <w:rFonts w:hint="eastAsia" w:cs="Times New Roman"/>
                <w:lang w:eastAsia="zh-CN"/>
              </w:rPr>
              <w:t>油水分离器</w:t>
            </w:r>
            <w:r>
              <w:rPr>
                <w:rFonts w:hint="default" w:ascii="Times New Roman" w:hAnsi="Times New Roman" w:cs="Times New Roman"/>
              </w:rPr>
              <w:t>处理后与其他生活污水一同排入依托</w:t>
            </w:r>
            <w:r>
              <w:rPr>
                <w:rFonts w:hint="default" w:ascii="Times New Roman" w:hAnsi="Times New Roman" w:cs="Times New Roman"/>
                <w:lang w:eastAsia="zh-CN"/>
              </w:rPr>
              <w:t>云南鑫成鹏高分子科技有限公司</w:t>
            </w:r>
            <w:r>
              <w:rPr>
                <w:rFonts w:hint="default" w:ascii="Times New Roman" w:hAnsi="Times New Roman" w:cs="Times New Roman"/>
              </w:rPr>
              <w:t>3号厂房的化粪池处理，经处理后进入</w:t>
            </w:r>
            <w:r>
              <w:rPr>
                <w:rFonts w:hint="default" w:ascii="Times New Roman" w:hAnsi="Times New Roman" w:cs="Times New Roman"/>
                <w:lang w:eastAsia="zh-CN"/>
              </w:rPr>
              <w:t>云南鑫成鹏高分子科技有限公司</w:t>
            </w:r>
            <w:r>
              <w:rPr>
                <w:rFonts w:hint="default" w:ascii="Times New Roman" w:hAnsi="Times New Roman" w:cs="Times New Roman"/>
              </w:rPr>
              <w:t>自建的一体化污水处理设施处理达标后晴天回用于</w:t>
            </w:r>
            <w:r>
              <w:rPr>
                <w:rFonts w:hint="default" w:ascii="Times New Roman" w:hAnsi="Times New Roman" w:cs="Times New Roman"/>
                <w:lang w:eastAsia="zh-CN"/>
              </w:rPr>
              <w:t>云南鑫成鹏高分子科技有限公司</w:t>
            </w:r>
            <w:r>
              <w:rPr>
                <w:rFonts w:hint="default" w:ascii="Times New Roman" w:hAnsi="Times New Roman" w:cs="Times New Roman"/>
                <w:spacing w:val="-1"/>
                <w:sz w:val="24"/>
                <w:szCs w:val="24"/>
              </w:rPr>
              <w:t>的绿化及道路洒水降尘，不外排，雨天暂存于回用水池。</w:t>
            </w:r>
          </w:p>
          <w:p>
            <w:pPr>
              <w:bidi w:val="0"/>
              <w:rPr>
                <w:rFonts w:hint="default" w:ascii="Times New Roman" w:hAnsi="Times New Roman" w:cs="Times New Roman"/>
              </w:rPr>
            </w:pPr>
            <w:r>
              <w:rPr>
                <w:rFonts w:hint="default" w:ascii="Times New Roman" w:hAnsi="Times New Roman" w:cs="Times New Roman"/>
              </w:rPr>
              <w:t>项目水污染物产生及排放量汇总见表4-1</w:t>
            </w:r>
            <w:r>
              <w:rPr>
                <w:rFonts w:hint="default" w:ascii="Times New Roman" w:hAnsi="Times New Roman" w:cs="Times New Roman"/>
                <w:lang w:val="en-US" w:eastAsia="zh-CN"/>
              </w:rPr>
              <w:t>0</w:t>
            </w:r>
            <w:r>
              <w:rPr>
                <w:rFonts w:hint="default" w:ascii="Times New Roman" w:hAnsi="Times New Roman" w:cs="Times New Roman"/>
              </w:rPr>
              <w:t>。</w:t>
            </w:r>
          </w:p>
          <w:p>
            <w:pPr>
              <w:pStyle w:val="36"/>
              <w:bidi w:val="0"/>
              <w:rPr>
                <w:rFonts w:hint="default" w:ascii="Times New Roman" w:hAnsi="Times New Roman" w:cs="Times New Roman"/>
              </w:rPr>
            </w:pPr>
            <w:r>
              <w:rPr>
                <w:rFonts w:hint="default" w:ascii="Times New Roman" w:hAnsi="Times New Roman" w:cs="Times New Roman"/>
              </w:rPr>
              <w:t>表4-1</w:t>
            </w:r>
            <w:r>
              <w:rPr>
                <w:rFonts w:hint="default" w:ascii="Times New Roman" w:hAnsi="Times New Roman" w:cs="Times New Roman"/>
                <w:lang w:val="en-US" w:eastAsia="zh-CN"/>
              </w:rPr>
              <w:t>0</w:t>
            </w:r>
            <w:r>
              <w:rPr>
                <w:rFonts w:hint="default" w:ascii="Times New Roman" w:hAnsi="Times New Roman" w:cs="Times New Roman"/>
              </w:rPr>
              <w:t>污染物产排情况一览表</w:t>
            </w:r>
          </w:p>
          <w:tbl>
            <w:tblPr>
              <w:tblStyle w:val="98"/>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69"/>
              <w:gridCol w:w="834"/>
              <w:gridCol w:w="951"/>
              <w:gridCol w:w="889"/>
              <w:gridCol w:w="854"/>
              <w:gridCol w:w="915"/>
              <w:gridCol w:w="909"/>
              <w:gridCol w:w="9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1233"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废水性质</w:t>
                  </w:r>
                </w:p>
              </w:tc>
              <w:tc>
                <w:tcPr>
                  <w:tcW w:w="49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单位</w:t>
                  </w:r>
                </w:p>
              </w:tc>
              <w:tc>
                <w:tcPr>
                  <w:tcW w:w="56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COD</w:t>
                  </w:r>
                  <w:r>
                    <w:rPr>
                      <w:rFonts w:hint="default" w:ascii="Times New Roman" w:hAnsi="Times New Roman" w:cs="Times New Roman"/>
                      <w:vertAlign w:val="subscript"/>
                    </w:rPr>
                    <w:t>cr</w:t>
                  </w:r>
                </w:p>
              </w:tc>
              <w:tc>
                <w:tcPr>
                  <w:tcW w:w="53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BOD</w:t>
                  </w:r>
                  <w:r>
                    <w:rPr>
                      <w:rFonts w:hint="default" w:ascii="Times New Roman" w:hAnsi="Times New Roman" w:cs="Times New Roman"/>
                      <w:vertAlign w:val="subscript"/>
                    </w:rPr>
                    <w:t>5</w:t>
                  </w:r>
                </w:p>
              </w:tc>
              <w:tc>
                <w:tcPr>
                  <w:tcW w:w="509"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SS</w:t>
                  </w:r>
                </w:p>
              </w:tc>
              <w:tc>
                <w:tcPr>
                  <w:tcW w:w="545"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氨氮</w:t>
                  </w:r>
                </w:p>
              </w:tc>
              <w:tc>
                <w:tcPr>
                  <w:tcW w:w="542"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总磷</w:t>
                  </w:r>
                </w:p>
              </w:tc>
              <w:tc>
                <w:tcPr>
                  <w:tcW w:w="573"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动植物油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233"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化粪池处理前</w:t>
                  </w:r>
                </w:p>
              </w:tc>
              <w:tc>
                <w:tcPr>
                  <w:tcW w:w="49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mg/L</w:t>
                  </w:r>
                </w:p>
              </w:tc>
              <w:tc>
                <w:tcPr>
                  <w:tcW w:w="56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400</w:t>
                  </w:r>
                </w:p>
              </w:tc>
              <w:tc>
                <w:tcPr>
                  <w:tcW w:w="53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220</w:t>
                  </w:r>
                </w:p>
              </w:tc>
              <w:tc>
                <w:tcPr>
                  <w:tcW w:w="509"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300</w:t>
                  </w:r>
                </w:p>
              </w:tc>
              <w:tc>
                <w:tcPr>
                  <w:tcW w:w="545"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20</w:t>
                  </w:r>
                </w:p>
              </w:tc>
              <w:tc>
                <w:tcPr>
                  <w:tcW w:w="542"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7</w:t>
                  </w:r>
                </w:p>
              </w:tc>
              <w:tc>
                <w:tcPr>
                  <w:tcW w:w="573"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233"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废水产生（720t/a）</w:t>
                  </w:r>
                </w:p>
              </w:tc>
              <w:tc>
                <w:tcPr>
                  <w:tcW w:w="49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t/a</w:t>
                  </w:r>
                </w:p>
              </w:tc>
              <w:tc>
                <w:tcPr>
                  <w:tcW w:w="56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0.288</w:t>
                  </w:r>
                </w:p>
              </w:tc>
              <w:tc>
                <w:tcPr>
                  <w:tcW w:w="53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0.158</w:t>
                  </w:r>
                </w:p>
              </w:tc>
              <w:tc>
                <w:tcPr>
                  <w:tcW w:w="509"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0.216</w:t>
                  </w:r>
                </w:p>
              </w:tc>
              <w:tc>
                <w:tcPr>
                  <w:tcW w:w="545"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0.014</w:t>
                  </w:r>
                </w:p>
              </w:tc>
              <w:tc>
                <w:tcPr>
                  <w:tcW w:w="542"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0.005</w:t>
                  </w:r>
                </w:p>
              </w:tc>
              <w:tc>
                <w:tcPr>
                  <w:tcW w:w="573"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0.036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233"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化粪池处理后</w:t>
                  </w:r>
                </w:p>
              </w:tc>
              <w:tc>
                <w:tcPr>
                  <w:tcW w:w="49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mg/L</w:t>
                  </w:r>
                </w:p>
              </w:tc>
              <w:tc>
                <w:tcPr>
                  <w:tcW w:w="56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340</w:t>
                  </w:r>
                </w:p>
              </w:tc>
              <w:tc>
                <w:tcPr>
                  <w:tcW w:w="53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198</w:t>
                  </w:r>
                </w:p>
              </w:tc>
              <w:tc>
                <w:tcPr>
                  <w:tcW w:w="509"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19.4</w:t>
                  </w:r>
                </w:p>
              </w:tc>
              <w:tc>
                <w:tcPr>
                  <w:tcW w:w="545"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6.58</w:t>
                  </w:r>
                </w:p>
              </w:tc>
              <w:tc>
                <w:tcPr>
                  <w:tcW w:w="542"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6</w:t>
                  </w:r>
                </w:p>
              </w:tc>
              <w:tc>
                <w:tcPr>
                  <w:tcW w:w="573"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33"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废水外排（720t/a）</w:t>
                  </w:r>
                </w:p>
              </w:tc>
              <w:tc>
                <w:tcPr>
                  <w:tcW w:w="49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t/a</w:t>
                  </w:r>
                </w:p>
              </w:tc>
              <w:tc>
                <w:tcPr>
                  <w:tcW w:w="56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0.245</w:t>
                  </w:r>
                </w:p>
              </w:tc>
              <w:tc>
                <w:tcPr>
                  <w:tcW w:w="53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0.143</w:t>
                  </w:r>
                </w:p>
              </w:tc>
              <w:tc>
                <w:tcPr>
                  <w:tcW w:w="509"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0.014</w:t>
                  </w:r>
                </w:p>
              </w:tc>
              <w:tc>
                <w:tcPr>
                  <w:tcW w:w="545"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0.005</w:t>
                  </w:r>
                </w:p>
              </w:tc>
              <w:tc>
                <w:tcPr>
                  <w:tcW w:w="542"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0.004</w:t>
                  </w:r>
                </w:p>
              </w:tc>
              <w:tc>
                <w:tcPr>
                  <w:tcW w:w="573"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0.013</w:t>
                  </w:r>
                </w:p>
              </w:tc>
            </w:tr>
          </w:tbl>
          <w:p>
            <w:pPr>
              <w:ind w:firstLine="480"/>
              <w:rPr>
                <w:rFonts w:hint="default" w:ascii="Times New Roman" w:hAnsi="Times New Roman" w:cs="Times New Roman"/>
                <w:color w:val="000000"/>
              </w:rPr>
            </w:pPr>
            <w:r>
              <w:rPr>
                <w:rFonts w:hint="default" w:ascii="Times New Roman" w:hAnsi="Times New Roman" w:eastAsia="宋体" w:cs="Times New Roman"/>
                <w:b/>
                <w:bCs/>
                <w:spacing w:val="-1"/>
                <w:sz w:val="24"/>
                <w:szCs w:val="24"/>
                <w:lang w:val="en-US" w:eastAsia="zh-CN"/>
              </w:rPr>
              <w:t>3</w:t>
            </w:r>
            <w:r>
              <w:rPr>
                <w:rFonts w:hint="default" w:ascii="Times New Roman" w:hAnsi="Times New Roman" w:cs="Times New Roman"/>
                <w:spacing w:val="-1"/>
                <w:sz w:val="24"/>
                <w:szCs w:val="24"/>
                <w14:textOutline w14:w="4358" w14:cap="sq" w14:cmpd="sng">
                  <w14:solidFill>
                    <w14:srgbClr w14:val="000000"/>
                  </w14:solidFill>
                  <w14:prstDash w14:val="solid"/>
                  <w14:bevel/>
                </w14:textOutline>
              </w:rPr>
              <w:t>）污水处理设施可行性分析</w:t>
            </w:r>
          </w:p>
          <w:p>
            <w:pPr>
              <w:bidi w:val="0"/>
              <w:rPr>
                <w:rFonts w:hint="default" w:ascii="Times New Roman" w:hAnsi="Times New Roman" w:cs="Times New Roman"/>
              </w:rPr>
            </w:pPr>
            <w:r>
              <w:rPr>
                <w:rFonts w:hint="default" w:ascii="Times New Roman" w:hAnsi="Times New Roman" w:cs="Times New Roman"/>
              </w:rPr>
              <w:t>①</w:t>
            </w:r>
            <w:r>
              <w:rPr>
                <w:rFonts w:hint="eastAsia" w:cs="Times New Roman"/>
                <w:lang w:eastAsia="zh-CN"/>
              </w:rPr>
              <w:t>油水分离器</w:t>
            </w:r>
            <w:r>
              <w:rPr>
                <w:rFonts w:hint="default" w:ascii="Times New Roman" w:hAnsi="Times New Roman" w:cs="Times New Roman"/>
              </w:rPr>
              <w:t>可行性分析</w:t>
            </w:r>
          </w:p>
          <w:p>
            <w:pPr>
              <w:bidi w:val="0"/>
              <w:rPr>
                <w:rFonts w:hint="default" w:ascii="Times New Roman" w:hAnsi="Times New Roman" w:cs="Times New Roman"/>
              </w:rPr>
            </w:pPr>
            <w:r>
              <w:rPr>
                <w:rFonts w:hint="default" w:ascii="Times New Roman" w:hAnsi="Times New Roman" w:cs="Times New Roman"/>
              </w:rPr>
              <w:t>根据《建筑给水排水设计规范2009年版》（GB50015-2003）：污水在</w:t>
            </w:r>
            <w:r>
              <w:rPr>
                <w:rFonts w:hint="eastAsia" w:cs="Times New Roman"/>
                <w:lang w:eastAsia="zh-CN"/>
              </w:rPr>
              <w:t>油水分离器</w:t>
            </w:r>
            <w:r>
              <w:rPr>
                <w:rFonts w:hint="default" w:ascii="Times New Roman" w:hAnsi="Times New Roman" w:cs="Times New Roman"/>
              </w:rPr>
              <w:t>内的流速控制在0.005m/s之内，有利于油脂颗粒上浮。污水在池内的停留时间的选择，可根据建筑物性质确定，用油量较多者取上限值，用油量较少者取下限值。参照实践经验，存油部分的容积不宜小于该池有效容积的25%；</w:t>
            </w:r>
            <w:r>
              <w:rPr>
                <w:rFonts w:hint="eastAsia" w:cs="Times New Roman"/>
                <w:lang w:eastAsia="zh-CN"/>
              </w:rPr>
              <w:t>油水分离器</w:t>
            </w:r>
            <w:r>
              <w:rPr>
                <w:rFonts w:hint="default" w:ascii="Times New Roman" w:hAnsi="Times New Roman" w:cs="Times New Roman"/>
              </w:rPr>
              <w:t>的有效容积可根据厨房洗涤废水的流量和废水在池内停留时间决定，其有效容积是指</w:t>
            </w:r>
            <w:r>
              <w:rPr>
                <w:rFonts w:hint="eastAsia" w:cs="Times New Roman"/>
                <w:lang w:eastAsia="zh-CN"/>
              </w:rPr>
              <w:t>油水分离器</w:t>
            </w:r>
            <w:r>
              <w:rPr>
                <w:rFonts w:hint="default" w:ascii="Times New Roman" w:hAnsi="Times New Roman" w:cs="Times New Roman"/>
              </w:rPr>
              <w:t>出口管管底标高以下的池容积。存油部分容积是指出水挡板的下端至水面油水分离室的容积。</w:t>
            </w:r>
          </w:p>
          <w:p>
            <w:pPr>
              <w:bidi w:val="0"/>
              <w:rPr>
                <w:rFonts w:hint="default" w:ascii="Times New Roman" w:hAnsi="Times New Roman" w:cs="Times New Roman"/>
              </w:rPr>
            </w:pPr>
            <w:r>
              <w:rPr>
                <w:rFonts w:hint="default" w:ascii="Times New Roman" w:hAnsi="Times New Roman" w:cs="Times New Roman"/>
              </w:rPr>
              <w:t>根据餐饮</w:t>
            </w:r>
            <w:r>
              <w:rPr>
                <w:rFonts w:hint="eastAsia" w:cs="Times New Roman"/>
                <w:lang w:eastAsia="zh-CN"/>
              </w:rPr>
              <w:t>油水分离器</w:t>
            </w:r>
            <w:r>
              <w:rPr>
                <w:rFonts w:hint="default" w:ascii="Times New Roman" w:hAnsi="Times New Roman" w:cs="Times New Roman"/>
              </w:rPr>
              <w:t>容积计算公式：</w:t>
            </w:r>
          </w:p>
          <w:p>
            <w:pPr>
              <w:spacing w:before="222" w:line="455" w:lineRule="exact"/>
              <w:ind w:left="3856"/>
              <w:rPr>
                <w:rFonts w:hint="default" w:ascii="Times New Roman" w:hAnsi="Times New Roman" w:eastAsia="Times New Roman" w:cs="Times New Roman"/>
                <w:sz w:val="23"/>
                <w:szCs w:val="23"/>
              </w:rPr>
            </w:pPr>
            <w:r>
              <w:rPr>
                <w:rFonts w:hint="default" w:ascii="Times New Roman" w:hAnsi="Times New Roman" w:eastAsia="Times New Roman" w:cs="Times New Roman"/>
                <w:i/>
                <w:iCs/>
                <w:spacing w:val="9"/>
                <w:position w:val="20"/>
                <w:sz w:val="23"/>
                <w:szCs w:val="23"/>
              </w:rPr>
              <w:t>V</w:t>
            </w:r>
            <w:r>
              <w:rPr>
                <w:rFonts w:hint="default" w:ascii="Times New Roman" w:hAnsi="Times New Roman" w:eastAsia="Symbol" w:cs="Times New Roman"/>
                <w:spacing w:val="9"/>
                <w:position w:val="20"/>
                <w:sz w:val="23"/>
                <w:szCs w:val="23"/>
              </w:rPr>
              <w:t>=</w:t>
            </w:r>
            <w:r>
              <w:rPr>
                <w:rFonts w:hint="default" w:ascii="Times New Roman" w:hAnsi="Times New Roman" w:eastAsia="Times New Roman" w:cs="Times New Roman"/>
                <w:i/>
                <w:iCs/>
                <w:position w:val="20"/>
                <w:sz w:val="23"/>
                <w:szCs w:val="23"/>
              </w:rPr>
              <w:t>Q</w:t>
            </w:r>
            <w:r>
              <w:rPr>
                <w:rFonts w:hint="default" w:ascii="Times New Roman" w:hAnsi="Times New Roman" w:eastAsia="Times New Roman" w:cs="Times New Roman"/>
                <w:position w:val="15"/>
                <w:sz w:val="13"/>
                <w:szCs w:val="13"/>
              </w:rPr>
              <w:t>max</w:t>
            </w:r>
            <w:r>
              <w:rPr>
                <w:rFonts w:hint="default" w:ascii="Times New Roman" w:hAnsi="Times New Roman" w:eastAsia="宋体" w:cs="Times New Roman"/>
                <w:spacing w:val="-13"/>
                <w:position w:val="20"/>
                <w:sz w:val="23"/>
                <w:szCs w:val="23"/>
                <w:lang w:val="en-US" w:eastAsia="zh-CN"/>
              </w:rPr>
              <w:t>·</w:t>
            </w:r>
            <w:r>
              <w:rPr>
                <w:rFonts w:hint="default" w:ascii="Times New Roman" w:hAnsi="Times New Roman" w:eastAsia="Times New Roman" w:cs="Times New Roman"/>
                <w:spacing w:val="9"/>
                <w:position w:val="20"/>
                <w:sz w:val="23"/>
                <w:szCs w:val="23"/>
              </w:rPr>
              <w:t>60</w:t>
            </w:r>
            <w:r>
              <w:rPr>
                <w:rFonts w:hint="default" w:ascii="Times New Roman" w:hAnsi="Times New Roman" w:eastAsia="宋体" w:cs="Times New Roman"/>
                <w:spacing w:val="-13"/>
                <w:position w:val="20"/>
                <w:sz w:val="23"/>
                <w:szCs w:val="23"/>
                <w:lang w:val="en-US" w:eastAsia="zh-CN"/>
              </w:rPr>
              <w:t>·</w:t>
            </w:r>
            <w:r>
              <w:rPr>
                <w:rFonts w:hint="default" w:ascii="Times New Roman" w:hAnsi="Times New Roman" w:eastAsia="Times New Roman" w:cs="Times New Roman"/>
                <w:spacing w:val="9"/>
                <w:position w:val="20"/>
                <w:sz w:val="23"/>
                <w:szCs w:val="23"/>
              </w:rPr>
              <w:t>t</w:t>
            </w:r>
          </w:p>
          <w:p>
            <w:pPr>
              <w:bidi w:val="0"/>
              <w:rPr>
                <w:rFonts w:hint="default" w:ascii="Times New Roman" w:hAnsi="Times New Roman" w:cs="Times New Roman"/>
              </w:rPr>
            </w:pPr>
            <w:r>
              <w:rPr>
                <w:rFonts w:hint="default" w:ascii="Times New Roman" w:hAnsi="Times New Roman" w:cs="Times New Roman"/>
              </w:rPr>
              <w:t>式中：V-----</w:t>
            </w:r>
            <w:r>
              <w:rPr>
                <w:rFonts w:hint="eastAsia" w:cs="Times New Roman"/>
                <w:lang w:eastAsia="zh-CN"/>
              </w:rPr>
              <w:t>油水分离器</w:t>
            </w:r>
            <w:r>
              <w:rPr>
                <w:rFonts w:hint="default" w:ascii="Times New Roman" w:hAnsi="Times New Roman" w:cs="Times New Roman"/>
              </w:rPr>
              <w:t>有效容积，</w:t>
            </w:r>
            <w:r>
              <w:rPr>
                <w:rFonts w:hint="default" w:ascii="Times New Roman" w:hAnsi="Times New Roman" w:cs="Times New Roman"/>
                <w:lang w:eastAsia="zh-CN"/>
              </w:rPr>
              <w:t>m³</w:t>
            </w:r>
            <w:r>
              <w:rPr>
                <w:rFonts w:hint="default" w:ascii="Times New Roman" w:hAnsi="Times New Roman" w:cs="Times New Roman"/>
              </w:rPr>
              <w:t>；</w:t>
            </w:r>
          </w:p>
          <w:p>
            <w:pPr>
              <w:bidi w:val="0"/>
              <w:rPr>
                <w:rFonts w:hint="default" w:ascii="Times New Roman" w:hAnsi="Times New Roman" w:eastAsia="Times New Roman" w:cs="Times New Roman"/>
                <w:sz w:val="24"/>
                <w:szCs w:val="24"/>
              </w:rPr>
            </w:pPr>
            <w:r>
              <w:rPr>
                <w:rFonts w:hint="default" w:ascii="Times New Roman" w:hAnsi="Times New Roman" w:cs="Times New Roman"/>
              </w:rPr>
              <w:t>Q</w:t>
            </w:r>
            <w:r>
              <w:rPr>
                <w:rFonts w:hint="default" w:ascii="Times New Roman" w:hAnsi="Times New Roman" w:cs="Times New Roman"/>
                <w:vertAlign w:val="subscript"/>
              </w:rPr>
              <w:t>max</w:t>
            </w:r>
            <w:r>
              <w:rPr>
                <w:rFonts w:hint="default" w:ascii="Times New Roman" w:hAnsi="Times New Roman" w:cs="Times New Roman"/>
              </w:rPr>
              <w:t>-----最大秒流量，食堂废水为0.48</w:t>
            </w:r>
            <w:r>
              <w:rPr>
                <w:rFonts w:hint="default" w:ascii="Times New Roman" w:hAnsi="Times New Roman" w:cs="Times New Roman"/>
                <w:lang w:eastAsia="zh-CN"/>
              </w:rPr>
              <w:t>m³</w:t>
            </w:r>
            <w:r>
              <w:rPr>
                <w:rFonts w:hint="default" w:ascii="Times New Roman" w:hAnsi="Times New Roman" w:cs="Times New Roman"/>
              </w:rPr>
              <w:t>/d，每天运营6小时（21600秒），</w:t>
            </w:r>
            <w:r>
              <w:rPr>
                <w:rFonts w:hint="default" w:ascii="Times New Roman" w:hAnsi="Times New Roman" w:cs="Times New Roman"/>
                <w:spacing w:val="-2"/>
                <w:sz w:val="24"/>
                <w:szCs w:val="24"/>
              </w:rPr>
              <w:t>则最大秒流量为</w:t>
            </w:r>
            <w:r>
              <w:rPr>
                <w:rFonts w:hint="default" w:ascii="Times New Roman" w:hAnsi="Times New Roman" w:eastAsia="Times New Roman" w:cs="Times New Roman"/>
                <w:spacing w:val="-2"/>
                <w:sz w:val="24"/>
                <w:szCs w:val="24"/>
              </w:rPr>
              <w:t>0.00002</w:t>
            </w:r>
            <w:r>
              <w:rPr>
                <w:rFonts w:hint="default" w:ascii="Times New Roman" w:hAnsi="Times New Roman" w:eastAsia="宋体" w:cs="Times New Roman"/>
                <w:spacing w:val="-2"/>
                <w:sz w:val="24"/>
                <w:szCs w:val="24"/>
                <w:lang w:eastAsia="zh-CN"/>
              </w:rPr>
              <w:t>m³</w:t>
            </w:r>
            <w:r>
              <w:rPr>
                <w:rFonts w:hint="default" w:ascii="Times New Roman" w:hAnsi="Times New Roman" w:eastAsia="Times New Roman" w:cs="Times New Roman"/>
                <w:spacing w:val="-2"/>
                <w:sz w:val="24"/>
                <w:szCs w:val="24"/>
              </w:rPr>
              <w:t>/s</w:t>
            </w:r>
          </w:p>
          <w:p>
            <w:pPr>
              <w:bidi w:val="0"/>
              <w:rPr>
                <w:rFonts w:hint="default" w:ascii="Times New Roman" w:hAnsi="Times New Roman" w:cs="Times New Roman"/>
              </w:rPr>
            </w:pPr>
            <w:r>
              <w:rPr>
                <w:rFonts w:hint="default" w:ascii="Times New Roman" w:hAnsi="Times New Roman" w:cs="Times New Roman"/>
              </w:rPr>
              <w:t>t-----停留时间，本项目取值120min；</w:t>
            </w:r>
          </w:p>
          <w:p>
            <w:pPr>
              <w:bidi w:val="0"/>
              <w:rPr>
                <w:rFonts w:hint="default" w:ascii="Times New Roman" w:hAnsi="Times New Roman" w:cs="Times New Roman"/>
              </w:rPr>
            </w:pPr>
            <w:r>
              <w:rPr>
                <w:rFonts w:hint="default" w:ascii="Times New Roman" w:hAnsi="Times New Roman" w:cs="Times New Roman"/>
              </w:rPr>
              <w:t>经计算，本项目需建设有效容积不低于0.144</w:t>
            </w:r>
            <w:r>
              <w:rPr>
                <w:rFonts w:hint="default" w:ascii="Times New Roman" w:hAnsi="Times New Roman" w:cs="Times New Roman"/>
                <w:lang w:eastAsia="zh-CN"/>
              </w:rPr>
              <w:t>m³</w:t>
            </w:r>
            <w:r>
              <w:rPr>
                <w:rFonts w:hint="eastAsia" w:cs="Times New Roman"/>
                <w:lang w:eastAsia="zh-CN"/>
              </w:rPr>
              <w:t>油水分离器</w:t>
            </w:r>
            <w:r>
              <w:rPr>
                <w:rFonts w:hint="default" w:ascii="Times New Roman" w:hAnsi="Times New Roman" w:cs="Times New Roman"/>
              </w:rPr>
              <w:t>。选取1.2的系数，则本项目</w:t>
            </w:r>
            <w:r>
              <w:rPr>
                <w:rFonts w:hint="eastAsia" w:cs="Times New Roman"/>
                <w:lang w:eastAsia="zh-CN"/>
              </w:rPr>
              <w:t>油水分离器</w:t>
            </w:r>
            <w:r>
              <w:rPr>
                <w:rFonts w:hint="default" w:ascii="Times New Roman" w:hAnsi="Times New Roman" w:cs="Times New Roman"/>
              </w:rPr>
              <w:t>的总容积应设置不小于0.1728</w:t>
            </w:r>
            <w:r>
              <w:rPr>
                <w:rFonts w:hint="default" w:ascii="Times New Roman" w:hAnsi="Times New Roman" w:cs="Times New Roman"/>
                <w:lang w:eastAsia="zh-CN"/>
              </w:rPr>
              <w:t>m³</w:t>
            </w:r>
            <w:r>
              <w:rPr>
                <w:rFonts w:hint="default" w:ascii="Times New Roman" w:hAnsi="Times New Roman" w:cs="Times New Roman"/>
              </w:rPr>
              <w:t>的</w:t>
            </w:r>
            <w:r>
              <w:rPr>
                <w:rFonts w:hint="eastAsia" w:cs="Times New Roman"/>
                <w:lang w:eastAsia="zh-CN"/>
              </w:rPr>
              <w:t>油水分离器</w:t>
            </w:r>
            <w:r>
              <w:rPr>
                <w:rFonts w:hint="default" w:ascii="Times New Roman" w:hAnsi="Times New Roman" w:cs="Times New Roman"/>
              </w:rPr>
              <w:t>，污水在</w:t>
            </w:r>
            <w:r>
              <w:rPr>
                <w:rFonts w:hint="eastAsia" w:cs="Times New Roman"/>
                <w:lang w:eastAsia="zh-CN"/>
              </w:rPr>
              <w:t>油水分离器</w:t>
            </w:r>
            <w:r>
              <w:rPr>
                <w:rFonts w:hint="default" w:ascii="Times New Roman" w:hAnsi="Times New Roman" w:cs="Times New Roman"/>
              </w:rPr>
              <w:t>内的流速控制在0.005m/s之内，存油部分的容积不宜小于该池有效容积的25%，根据业主提供资料建设一个0.5</w:t>
            </w:r>
            <w:r>
              <w:rPr>
                <w:rFonts w:hint="default" w:ascii="Times New Roman" w:hAnsi="Times New Roman" w:cs="Times New Roman"/>
                <w:lang w:eastAsia="zh-CN"/>
              </w:rPr>
              <w:t>m³</w:t>
            </w:r>
            <w:r>
              <w:rPr>
                <w:rFonts w:hint="default" w:ascii="Times New Roman" w:hAnsi="Times New Roman" w:cs="Times New Roman"/>
              </w:rPr>
              <w:t>的</w:t>
            </w:r>
            <w:r>
              <w:rPr>
                <w:rFonts w:hint="eastAsia" w:cs="Times New Roman"/>
                <w:lang w:eastAsia="zh-CN"/>
              </w:rPr>
              <w:t>油水分离器</w:t>
            </w:r>
            <w:r>
              <w:rPr>
                <w:rFonts w:hint="default" w:ascii="Times New Roman" w:hAnsi="Times New Roman" w:cs="Times New Roman"/>
              </w:rPr>
              <w:t>。</w:t>
            </w:r>
          </w:p>
          <w:p>
            <w:pPr>
              <w:bidi w:val="0"/>
              <w:rPr>
                <w:rFonts w:hint="default" w:ascii="Times New Roman" w:hAnsi="Times New Roman" w:cs="Times New Roman"/>
                <w:b/>
                <w:bCs/>
              </w:rPr>
            </w:pPr>
            <w:r>
              <w:rPr>
                <w:rFonts w:hint="default" w:ascii="Times New Roman" w:hAnsi="Times New Roman" w:cs="Times New Roman"/>
                <w:b/>
                <w:bCs/>
              </w:rPr>
              <w:t>②依托</w:t>
            </w:r>
            <w:r>
              <w:rPr>
                <w:rFonts w:hint="default" w:ascii="Times New Roman" w:hAnsi="Times New Roman" w:cs="Times New Roman"/>
                <w:b/>
                <w:bCs/>
                <w:lang w:eastAsia="zh-CN"/>
              </w:rPr>
              <w:t>云南鑫成鹏高分子科技有限公司</w:t>
            </w:r>
            <w:r>
              <w:rPr>
                <w:rFonts w:hint="default" w:ascii="Times New Roman" w:hAnsi="Times New Roman" w:cs="Times New Roman"/>
                <w:b/>
                <w:bCs/>
              </w:rPr>
              <w:t>厂区内化粪池的可行性</w:t>
            </w:r>
          </w:p>
          <w:p>
            <w:pPr>
              <w:bidi w:val="0"/>
              <w:rPr>
                <w:rFonts w:hint="default" w:ascii="Times New Roman" w:hAnsi="Times New Roman" w:cs="Times New Roman"/>
              </w:rPr>
            </w:pPr>
            <w:r>
              <w:rPr>
                <w:rFonts w:hint="default" w:ascii="Times New Roman" w:hAnsi="Times New Roman" w:cs="Times New Roman"/>
                <w:lang w:eastAsia="zh-CN"/>
              </w:rPr>
              <w:t>云南鑫成鹏高分子科技有限公司</w:t>
            </w:r>
            <w:r>
              <w:rPr>
                <w:rFonts w:hint="default" w:ascii="Times New Roman" w:hAnsi="Times New Roman" w:cs="Times New Roman"/>
              </w:rPr>
              <w:t>厂区内共有1个化粪池，化粪池面积为35</w:t>
            </w:r>
            <w:r>
              <w:rPr>
                <w:rFonts w:hint="default" w:ascii="Times New Roman" w:hAnsi="Times New Roman" w:cs="Times New Roman"/>
                <w:lang w:eastAsia="zh-CN"/>
              </w:rPr>
              <w:t>m³</w:t>
            </w:r>
            <w:r>
              <w:rPr>
                <w:rFonts w:hint="default" w:ascii="Times New Roman" w:hAnsi="Times New Roman" w:cs="Times New Roman"/>
              </w:rPr>
              <w:t>。根据调查</w:t>
            </w:r>
            <w:r>
              <w:rPr>
                <w:rFonts w:hint="default" w:ascii="Times New Roman" w:hAnsi="Times New Roman" w:cs="Times New Roman"/>
                <w:lang w:eastAsia="zh-CN"/>
              </w:rPr>
              <w:t>云南鑫成鹏高分子科技有限公司</w:t>
            </w:r>
            <w:r>
              <w:rPr>
                <w:rFonts w:hint="default" w:ascii="Times New Roman" w:hAnsi="Times New Roman" w:cs="Times New Roman"/>
              </w:rPr>
              <w:t>只出租3号厂房，3号厂房全部出租给本项目，</w:t>
            </w:r>
          </w:p>
          <w:p>
            <w:pPr>
              <w:bidi w:val="0"/>
              <w:rPr>
                <w:rFonts w:hint="default" w:ascii="Times New Roman" w:hAnsi="Times New Roman" w:cs="Times New Roman"/>
              </w:rPr>
            </w:pPr>
            <w:r>
              <w:rPr>
                <w:rFonts w:hint="default" w:ascii="Times New Roman" w:hAnsi="Times New Roman" w:cs="Times New Roman"/>
              </w:rPr>
              <w:t>通过对厂区内废水排放进行核算，结果见下表：</w:t>
            </w:r>
          </w:p>
          <w:p>
            <w:pPr>
              <w:pStyle w:val="36"/>
              <w:bidi w:val="0"/>
              <w:rPr>
                <w:rFonts w:hint="default" w:ascii="Times New Roman" w:hAnsi="Times New Roman" w:cs="Times New Roman"/>
              </w:rPr>
            </w:pPr>
            <w:r>
              <w:rPr>
                <w:rFonts w:hint="default" w:ascii="Times New Roman" w:hAnsi="Times New Roman" w:cs="Times New Roman"/>
              </w:rPr>
              <w:t>表4-1</w:t>
            </w:r>
            <w:r>
              <w:rPr>
                <w:rFonts w:hint="default" w:ascii="Times New Roman" w:hAnsi="Times New Roman" w:cs="Times New Roman"/>
                <w:lang w:val="en-US" w:eastAsia="zh-CN"/>
              </w:rPr>
              <w:t>1</w:t>
            </w:r>
            <w:r>
              <w:rPr>
                <w:rFonts w:hint="default" w:ascii="Times New Roman" w:hAnsi="Times New Roman" w:cs="Times New Roman"/>
              </w:rPr>
              <w:t>厂区内化粪池废水排放情况</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49"/>
              <w:gridCol w:w="1317"/>
              <w:gridCol w:w="1321"/>
              <w:gridCol w:w="1323"/>
              <w:gridCol w:w="1334"/>
              <w:gridCol w:w="1323"/>
              <w:gridCol w:w="13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06" w:hRule="atLeast"/>
              </w:trPr>
              <w:tc>
                <w:tcPr>
                  <w:tcW w:w="26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lang w:val="en-US" w:eastAsia="zh-CN"/>
                    </w:rPr>
                    <w:t>编号</w:t>
                  </w:r>
                </w:p>
              </w:tc>
              <w:tc>
                <w:tcPr>
                  <w:tcW w:w="785"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lang w:val="en-US" w:eastAsia="zh-CN"/>
                    </w:rPr>
                    <w:t>企业名称</w:t>
                  </w:r>
                </w:p>
              </w:tc>
              <w:tc>
                <w:tcPr>
                  <w:tcW w:w="787"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lang w:val="en-US" w:eastAsia="zh-CN"/>
                    </w:rPr>
                    <w:t>人数</w:t>
                  </w:r>
                </w:p>
              </w:tc>
              <w:tc>
                <w:tcPr>
                  <w:tcW w:w="78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lang w:val="en-US" w:eastAsia="zh-CN"/>
                    </w:rPr>
                    <w:t>用水定额</w:t>
                  </w:r>
                </w:p>
              </w:tc>
              <w:tc>
                <w:tcPr>
                  <w:tcW w:w="794"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lang w:val="en-US" w:eastAsia="zh-CN"/>
                    </w:rPr>
                    <w:t>产污系数</w:t>
                  </w:r>
                </w:p>
              </w:tc>
              <w:tc>
                <w:tcPr>
                  <w:tcW w:w="78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lang w:val="en-US" w:eastAsia="zh-CN"/>
                    </w:rPr>
                    <w:t>用水量（m³/d）</w:t>
                  </w:r>
                </w:p>
              </w:tc>
              <w:tc>
                <w:tcPr>
                  <w:tcW w:w="788"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lang w:val="en-US" w:eastAsia="zh-CN"/>
                    </w:rPr>
                    <w:t>废水产生量（m³/d）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68" w:type="pct"/>
                  <w:tcBorders>
                    <w:top w:val="nil"/>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785" w:type="pct"/>
                  <w:tcBorders>
                    <w:top w:val="nil"/>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本项目</w:t>
                  </w:r>
                </w:p>
              </w:tc>
              <w:tc>
                <w:tcPr>
                  <w:tcW w:w="787" w:type="pct"/>
                  <w:tcBorders>
                    <w:top w:val="nil"/>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30</w:t>
                  </w:r>
                </w:p>
              </w:tc>
              <w:tc>
                <w:tcPr>
                  <w:tcW w:w="788" w:type="pct"/>
                  <w:vMerge w:val="restart"/>
                  <w:tcBorders>
                    <w:top w:val="nil"/>
                    <w:left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lang w:val="en-US" w:eastAsia="zh-CN"/>
                    </w:rPr>
                    <w:t>按照100L/人.d计</w:t>
                  </w:r>
                </w:p>
              </w:tc>
              <w:tc>
                <w:tcPr>
                  <w:tcW w:w="794" w:type="pct"/>
                  <w:vMerge w:val="restart"/>
                  <w:tcBorders>
                    <w:top w:val="nil"/>
                    <w:left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lang w:val="en-US" w:eastAsia="zh-CN"/>
                    </w:rPr>
                    <w:t>按0.8计</w:t>
                  </w:r>
                </w:p>
              </w:tc>
              <w:tc>
                <w:tcPr>
                  <w:tcW w:w="788" w:type="pct"/>
                  <w:tcBorders>
                    <w:top w:val="nil"/>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788" w:type="pct"/>
                  <w:tcBorders>
                    <w:top w:val="nil"/>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68" w:type="pct"/>
                  <w:tcBorders>
                    <w:top w:val="nil"/>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p>
              </w:tc>
              <w:tc>
                <w:tcPr>
                  <w:tcW w:w="785" w:type="pct"/>
                  <w:tcBorders>
                    <w:top w:val="nil"/>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lang w:val="en-US" w:eastAsia="zh-CN"/>
                    </w:rPr>
                    <w:t>云南鑫成鹏高分子科技有限公司</w:t>
                  </w:r>
                </w:p>
              </w:tc>
              <w:tc>
                <w:tcPr>
                  <w:tcW w:w="787" w:type="pct"/>
                  <w:tcBorders>
                    <w:top w:val="nil"/>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lang w:val="en-US" w:eastAsia="zh-CN"/>
                    </w:rPr>
                    <w:t>50</w:t>
                  </w:r>
                </w:p>
              </w:tc>
              <w:tc>
                <w:tcPr>
                  <w:tcW w:w="788" w:type="pct"/>
                  <w:vMerge w:val="continue"/>
                  <w:tcBorders>
                    <w:left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rPr>
                  </w:pPr>
                </w:p>
              </w:tc>
              <w:tc>
                <w:tcPr>
                  <w:tcW w:w="794" w:type="pct"/>
                  <w:vMerge w:val="continue"/>
                  <w:tcBorders>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rPr>
                  </w:pPr>
                </w:p>
              </w:tc>
              <w:tc>
                <w:tcPr>
                  <w:tcW w:w="788" w:type="pct"/>
                  <w:tcBorders>
                    <w:top w:val="nil"/>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lang w:val="en-US" w:eastAsia="zh-CN"/>
                    </w:rPr>
                    <w:t>5</w:t>
                  </w:r>
                </w:p>
              </w:tc>
              <w:tc>
                <w:tcPr>
                  <w:tcW w:w="788" w:type="pct"/>
                  <w:tcBorders>
                    <w:top w:val="nil"/>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23" w:type="pct"/>
                  <w:gridSpan w:val="5"/>
                  <w:tcBorders>
                    <w:top w:val="nil"/>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lang w:val="en-US" w:eastAsia="zh-CN"/>
                    </w:rPr>
                    <w:t>总计</w:t>
                  </w:r>
                </w:p>
              </w:tc>
              <w:tc>
                <w:tcPr>
                  <w:tcW w:w="788" w:type="pct"/>
                  <w:tcBorders>
                    <w:top w:val="nil"/>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lang w:val="en-US" w:eastAsia="zh-CN"/>
                    </w:rPr>
                    <w:t>8</w:t>
                  </w:r>
                </w:p>
              </w:tc>
              <w:tc>
                <w:tcPr>
                  <w:tcW w:w="788" w:type="pct"/>
                  <w:tcBorders>
                    <w:top w:val="nil"/>
                    <w:left w:val="single" w:color="000000" w:sz="8" w:space="0"/>
                    <w:bottom w:val="single" w:color="000000" w:sz="8" w:space="0"/>
                    <w:right w:val="single" w:color="000000" w:sz="8" w:space="0"/>
                  </w:tcBorders>
                  <w:shd w:val="clear" w:color="auto" w:fill="auto"/>
                  <w:vAlign w:val="center"/>
                </w:tcPr>
                <w:p>
                  <w:pPr>
                    <w:pStyle w:val="45"/>
                    <w:bidi w:val="0"/>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6.8</w:t>
                  </w:r>
                </w:p>
              </w:tc>
            </w:tr>
          </w:tbl>
          <w:p>
            <w:pPr>
              <w:ind w:firstLine="482"/>
              <w:rPr>
                <w:rFonts w:hint="default" w:ascii="Times New Roman" w:hAnsi="Times New Roman" w:cs="Times New Roman"/>
                <w:spacing w:val="5"/>
                <w:sz w:val="24"/>
                <w:szCs w:val="24"/>
              </w:rPr>
            </w:pPr>
            <w:r>
              <w:rPr>
                <w:rFonts w:hint="default" w:ascii="Times New Roman" w:hAnsi="Times New Roman" w:cs="Times New Roman"/>
                <w:spacing w:val="6"/>
                <w:sz w:val="24"/>
                <w:szCs w:val="24"/>
              </w:rPr>
              <w:t>通过表</w:t>
            </w:r>
            <w:r>
              <w:rPr>
                <w:rFonts w:hint="default" w:ascii="Times New Roman" w:hAnsi="Times New Roman" w:eastAsia="Times New Roman" w:cs="Times New Roman"/>
                <w:spacing w:val="6"/>
                <w:sz w:val="24"/>
                <w:szCs w:val="24"/>
              </w:rPr>
              <w:t>4-1</w:t>
            </w:r>
            <w:r>
              <w:rPr>
                <w:rFonts w:hint="default" w:ascii="Times New Roman" w:hAnsi="Times New Roman" w:eastAsia="宋体" w:cs="Times New Roman"/>
                <w:spacing w:val="6"/>
                <w:sz w:val="24"/>
                <w:szCs w:val="24"/>
                <w:lang w:val="en-US" w:eastAsia="zh-CN"/>
              </w:rPr>
              <w:t>1</w:t>
            </w:r>
            <w:r>
              <w:rPr>
                <w:rFonts w:hint="default" w:ascii="Times New Roman" w:hAnsi="Times New Roman" w:cs="Times New Roman"/>
              </w:rPr>
              <w:t>中对产生的废水量按员工人数进行核算后，产生的废水量约为</w:t>
            </w:r>
            <w:r>
              <w:rPr>
                <w:rFonts w:hint="default" w:ascii="Times New Roman" w:hAnsi="Times New Roman" w:cs="Times New Roman"/>
                <w:lang w:val="en-US" w:eastAsia="zh-CN"/>
              </w:rPr>
              <w:t>6.8</w:t>
            </w:r>
            <w:r>
              <w:rPr>
                <w:rFonts w:hint="default" w:ascii="Times New Roman" w:hAnsi="Times New Roman" w:cs="Times New Roman"/>
              </w:rPr>
              <w:t>m³/d，占现有化粪池能力的</w:t>
            </w:r>
            <w:r>
              <w:rPr>
                <w:rFonts w:hint="default" w:ascii="Times New Roman" w:hAnsi="Times New Roman" w:cs="Times New Roman"/>
                <w:lang w:val="en-US" w:eastAsia="zh-CN"/>
              </w:rPr>
              <w:t>19.4</w:t>
            </w:r>
            <w:r>
              <w:rPr>
                <w:rFonts w:hint="default" w:ascii="Times New Roman" w:hAnsi="Times New Roman" w:cs="Times New Roman"/>
              </w:rPr>
              <w:t>%</w:t>
            </w:r>
            <w:r>
              <w:rPr>
                <w:rFonts w:hint="default" w:ascii="Times New Roman" w:hAnsi="Times New Roman" w:cs="Times New Roman"/>
                <w:spacing w:val="5"/>
                <w:sz w:val="24"/>
                <w:szCs w:val="24"/>
              </w:rPr>
              <w:t>，化粪池能够接纳本项目污水。</w:t>
            </w:r>
          </w:p>
          <w:p>
            <w:pPr>
              <w:ind w:firstLine="480"/>
              <w:rPr>
                <w:rFonts w:hint="default" w:ascii="Times New Roman" w:hAnsi="Times New Roman" w:eastAsia="宋体" w:cs="Times New Roman"/>
                <w:b/>
                <w:bCs/>
                <w:spacing w:val="-1"/>
                <w:sz w:val="24"/>
                <w:szCs w:val="24"/>
                <w:lang w:val="en-US" w:eastAsia="zh-CN"/>
              </w:rPr>
            </w:pPr>
            <w:r>
              <w:rPr>
                <w:rFonts w:hint="default" w:ascii="Times New Roman" w:hAnsi="Times New Roman" w:eastAsia="宋体" w:cs="Times New Roman"/>
                <w:b/>
                <w:bCs/>
                <w:spacing w:val="-1"/>
                <w:sz w:val="24"/>
                <w:szCs w:val="24"/>
                <w:lang w:val="en-US" w:eastAsia="zh-CN"/>
              </w:rPr>
              <w:t>2）污水处理站处理能力分析</w:t>
            </w:r>
          </w:p>
          <w:p>
            <w:pPr>
              <w:bidi w:val="0"/>
              <w:rPr>
                <w:rFonts w:hint="default" w:ascii="Times New Roman" w:hAnsi="Times New Roman" w:cs="Times New Roman"/>
              </w:rPr>
            </w:pPr>
            <w:r>
              <w:rPr>
                <w:rFonts w:hint="default" w:ascii="Times New Roman" w:hAnsi="Times New Roman" w:cs="Times New Roman"/>
              </w:rPr>
              <w:t>本项目食堂废水经</w:t>
            </w:r>
            <w:r>
              <w:rPr>
                <w:rFonts w:hint="eastAsia" w:cs="Times New Roman"/>
                <w:lang w:eastAsia="zh-CN"/>
              </w:rPr>
              <w:t>油水分离器</w:t>
            </w:r>
            <w:r>
              <w:rPr>
                <w:rFonts w:hint="default" w:ascii="Times New Roman" w:hAnsi="Times New Roman" w:cs="Times New Roman"/>
              </w:rPr>
              <w:t>处理后与其他生活污水一起排入依托</w:t>
            </w:r>
            <w:r>
              <w:rPr>
                <w:rFonts w:hint="default" w:ascii="Times New Roman" w:hAnsi="Times New Roman" w:cs="Times New Roman"/>
                <w:lang w:eastAsia="zh-CN"/>
              </w:rPr>
              <w:t>云南鑫成鹏高分子科技有限公司</w:t>
            </w:r>
            <w:r>
              <w:rPr>
                <w:rFonts w:hint="default" w:ascii="Times New Roman" w:hAnsi="Times New Roman" w:cs="Times New Roman"/>
              </w:rPr>
              <w:t>3号厂房的化粪池处理后，最终进入</w:t>
            </w:r>
            <w:r>
              <w:rPr>
                <w:rFonts w:hint="default" w:ascii="Times New Roman" w:hAnsi="Times New Roman" w:cs="Times New Roman"/>
                <w:lang w:eastAsia="zh-CN"/>
              </w:rPr>
              <w:t>云南鑫成鹏高分子科技有限公司</w:t>
            </w:r>
            <w:r>
              <w:rPr>
                <w:rFonts w:hint="default" w:ascii="Times New Roman" w:hAnsi="Times New Roman" w:cs="Times New Roman"/>
              </w:rPr>
              <w:t>自建的一体化污水处理设施处理达标后晴天回用于绿化及道路洒水降尘，不外排。根据</w:t>
            </w:r>
            <w:r>
              <w:rPr>
                <w:rFonts w:hint="default" w:ascii="Times New Roman" w:hAnsi="Times New Roman" w:cs="Times New Roman"/>
                <w:lang w:eastAsia="zh-CN"/>
              </w:rPr>
              <w:t>云南鑫成鹏高分子科技有限公司</w:t>
            </w:r>
            <w:r>
              <w:rPr>
                <w:rFonts w:hint="default" w:ascii="Times New Roman" w:hAnsi="Times New Roman" w:cs="Times New Roman"/>
              </w:rPr>
              <w:t>的环评报告，</w:t>
            </w:r>
            <w:r>
              <w:rPr>
                <w:rFonts w:hint="default" w:ascii="Times New Roman" w:hAnsi="Times New Roman" w:cs="Times New Roman"/>
                <w:lang w:eastAsia="zh-CN"/>
              </w:rPr>
              <w:t>云南鑫成鹏高分子科技有限公司</w:t>
            </w:r>
            <w:r>
              <w:rPr>
                <w:rFonts w:hint="default" w:ascii="Times New Roman" w:hAnsi="Times New Roman" w:cs="Times New Roman"/>
              </w:rPr>
              <w:t>绿化面积为4136.86㎡，绿化用水量为2854.3m³/</w:t>
            </w:r>
            <w:r>
              <w:rPr>
                <w:rFonts w:hint="eastAsia" w:ascii="Times New Roman" w:hAnsi="Times New Roman" w:cs="Times New Roman"/>
                <w:lang w:val="en-US" w:eastAsia="zh-CN"/>
              </w:rPr>
              <w:t>a</w:t>
            </w:r>
            <w:r>
              <w:rPr>
                <w:rFonts w:hint="default" w:ascii="Times New Roman" w:hAnsi="Times New Roman" w:cs="Times New Roman"/>
              </w:rPr>
              <w:t>。</w:t>
            </w:r>
            <w:r>
              <w:rPr>
                <w:rFonts w:hint="default" w:ascii="Times New Roman" w:hAnsi="Times New Roman" w:cs="Times New Roman"/>
                <w:lang w:eastAsia="zh-CN"/>
              </w:rPr>
              <w:t>云南鑫成鹏高分子科技有限公司</w:t>
            </w:r>
            <w:r>
              <w:rPr>
                <w:rFonts w:hint="default" w:ascii="Times New Roman" w:hAnsi="Times New Roman" w:cs="Times New Roman"/>
              </w:rPr>
              <w:t>厂区内无其他入驻企业。</w:t>
            </w:r>
          </w:p>
          <w:p>
            <w:pPr>
              <w:bidi w:val="0"/>
              <w:rPr>
                <w:rFonts w:hint="default" w:ascii="Times New Roman" w:hAnsi="Times New Roman" w:cs="Times New Roman"/>
                <w:sz w:val="24"/>
                <w:szCs w:val="24"/>
              </w:rPr>
            </w:pPr>
            <w:r>
              <w:rPr>
                <w:rFonts w:hint="default" w:ascii="Times New Roman" w:hAnsi="Times New Roman" w:cs="Times New Roman"/>
              </w:rPr>
              <w:t>本项目污水排放量最大2.4m³/d，</w:t>
            </w:r>
            <w:r>
              <w:rPr>
                <w:rFonts w:hint="default" w:ascii="Times New Roman" w:hAnsi="Times New Roman" w:cs="Times New Roman"/>
                <w:lang w:eastAsia="zh-CN"/>
              </w:rPr>
              <w:t>云南鑫成鹏高分子科技有限公司</w:t>
            </w:r>
            <w:r>
              <w:rPr>
                <w:rFonts w:hint="default" w:ascii="Times New Roman" w:hAnsi="Times New Roman" w:cs="Times New Roman"/>
              </w:rPr>
              <w:t>污水处理设施日处理的最大规模10m³/d，</w:t>
            </w:r>
            <w:r>
              <w:rPr>
                <w:rFonts w:hint="default" w:ascii="Times New Roman" w:hAnsi="Times New Roman" w:cs="Times New Roman"/>
                <w:lang w:eastAsia="zh-CN"/>
              </w:rPr>
              <w:t>云南鑫成鹏高分子科技有限公司</w:t>
            </w:r>
            <w:r>
              <w:rPr>
                <w:rFonts w:hint="default" w:ascii="Times New Roman" w:hAnsi="Times New Roman" w:cs="Times New Roman"/>
              </w:rPr>
              <w:t>目前现有厂区员工50人，废水排放量为4m³/d。</w:t>
            </w:r>
            <w:r>
              <w:rPr>
                <w:rFonts w:hint="default" w:ascii="Times New Roman" w:hAnsi="Times New Roman" w:cs="Times New Roman"/>
                <w:lang w:eastAsia="zh-CN"/>
              </w:rPr>
              <w:t>云南鑫成鹏高分子科技有限公司</w:t>
            </w:r>
            <w:r>
              <w:rPr>
                <w:rFonts w:hint="default" w:ascii="Times New Roman" w:hAnsi="Times New Roman" w:cs="Times New Roman"/>
              </w:rPr>
              <w:t>污水处理设备剩余处理量还有6m³/d，本项目产生废水量仅占</w:t>
            </w:r>
            <w:r>
              <w:rPr>
                <w:rFonts w:hint="default" w:ascii="Times New Roman" w:hAnsi="Times New Roman" w:cs="Times New Roman"/>
                <w:lang w:eastAsia="zh-CN"/>
              </w:rPr>
              <w:t>云南鑫成鹏高分子科技有限公司</w:t>
            </w:r>
            <w:r>
              <w:rPr>
                <w:rFonts w:hint="default" w:ascii="Times New Roman" w:hAnsi="Times New Roman" w:cs="Times New Roman"/>
              </w:rPr>
              <w:t>污水处理设备剩余处理量的40%，不会导致</w:t>
            </w:r>
            <w:r>
              <w:rPr>
                <w:rFonts w:hint="default" w:ascii="Times New Roman" w:hAnsi="Times New Roman" w:cs="Times New Roman"/>
                <w:lang w:eastAsia="zh-CN"/>
              </w:rPr>
              <w:t>云南鑫成鹏高分子科技有限公司</w:t>
            </w:r>
            <w:r>
              <w:rPr>
                <w:rFonts w:hint="default" w:ascii="Times New Roman" w:hAnsi="Times New Roman" w:cs="Times New Roman"/>
              </w:rPr>
              <w:t>绿化用水</w:t>
            </w:r>
            <w:r>
              <w:rPr>
                <w:rFonts w:hint="default" w:ascii="Times New Roman" w:hAnsi="Times New Roman" w:cs="Times New Roman"/>
                <w:spacing w:val="1"/>
                <w:szCs w:val="24"/>
              </w:rPr>
              <w:t>量增加，故本项目的生</w:t>
            </w:r>
            <w:r>
              <w:rPr>
                <w:rFonts w:hint="default" w:ascii="Times New Roman" w:hAnsi="Times New Roman" w:cs="Times New Roman"/>
                <w:spacing w:val="-1"/>
                <w:sz w:val="24"/>
                <w:szCs w:val="24"/>
              </w:rPr>
              <w:t>活废水依托</w:t>
            </w:r>
            <w:r>
              <w:rPr>
                <w:rFonts w:hint="default" w:ascii="Times New Roman" w:hAnsi="Times New Roman" w:cs="Times New Roman"/>
                <w:spacing w:val="-1"/>
                <w:sz w:val="24"/>
                <w:szCs w:val="24"/>
                <w:lang w:eastAsia="zh-CN"/>
              </w:rPr>
              <w:t>云南鑫成鹏高分子科技有限公司</w:t>
            </w:r>
            <w:r>
              <w:rPr>
                <w:rFonts w:hint="default" w:ascii="Times New Roman" w:hAnsi="Times New Roman" w:cs="Times New Roman"/>
                <w:spacing w:val="-1"/>
                <w:sz w:val="24"/>
                <w:szCs w:val="24"/>
              </w:rPr>
              <w:t>污水处理站是可行的。</w:t>
            </w:r>
          </w:p>
          <w:p>
            <w:pPr>
              <w:bidi w:val="0"/>
              <w:rPr>
                <w:rFonts w:hint="default" w:ascii="Times New Roman" w:hAnsi="Times New Roman" w:cs="Times New Roman"/>
              </w:rPr>
            </w:pPr>
            <w:r>
              <w:rPr>
                <w:rFonts w:hint="default" w:ascii="Times New Roman" w:hAnsi="Times New Roman" w:cs="Times New Roman"/>
              </w:rPr>
              <w:t>一体化污水处理设施的出水口水质根据</w:t>
            </w:r>
            <w:r>
              <w:rPr>
                <w:rFonts w:hint="default" w:ascii="Times New Roman" w:hAnsi="Times New Roman" w:cs="Times New Roman"/>
                <w:lang w:eastAsia="zh-CN"/>
              </w:rPr>
              <w:t>云南鑫成鹏高分子科技有限公司</w:t>
            </w:r>
            <w:r>
              <w:rPr>
                <w:rFonts w:hint="default" w:ascii="Times New Roman" w:hAnsi="Times New Roman" w:cs="Times New Roman"/>
              </w:rPr>
              <w:t>委托《云南环普检测科技有限公司检测报告》（YNHP21120302）（附件10）对污水处理站出口监测的结果，各污染物均能满足《城市污水再生利用城市杂用水水质》（GB/T18920-2020）中的标准。因此，项目生活污水依托</w:t>
            </w:r>
            <w:r>
              <w:rPr>
                <w:rFonts w:hint="default" w:ascii="Times New Roman" w:hAnsi="Times New Roman" w:cs="Times New Roman"/>
                <w:lang w:eastAsia="zh-CN"/>
              </w:rPr>
              <w:t>云南鑫成鹏高分子科技有限公司</w:t>
            </w:r>
            <w:r>
              <w:rPr>
                <w:rFonts w:hint="default" w:ascii="Times New Roman" w:hAnsi="Times New Roman" w:cs="Times New Roman"/>
              </w:rPr>
              <w:t>的一体化污水处理设施可行。</w:t>
            </w:r>
          </w:p>
          <w:p>
            <w:pPr>
              <w:bidi w:val="0"/>
              <w:rPr>
                <w:rFonts w:hint="default" w:ascii="Times New Roman" w:hAnsi="Times New Roman" w:cs="Times New Roman"/>
              </w:rPr>
            </w:pPr>
            <w:r>
              <w:rPr>
                <w:rFonts w:hint="default" w:ascii="Times New Roman" w:hAnsi="Times New Roman" w:cs="Times New Roman"/>
              </w:rPr>
              <w:t>根据经济合理的原则，处理工艺应尽可能采用先进且成熟的技术，结合项目实际，本次评价建议项目采用水解厌氧（A）+接触氧化（O）+MBR（膜生物反应）组合工艺。目前项目生活污水处理站工艺未进行设计，项目实施时具体采用的污水处理工艺可由建设单位根据出水水质要求委托有资质的单位设计施工。</w:t>
            </w:r>
          </w:p>
          <w:p>
            <w:pPr>
              <w:bidi w:val="0"/>
              <w:rPr>
                <w:rFonts w:hint="default" w:ascii="Times New Roman" w:hAnsi="Times New Roman" w:eastAsia="宋体" w:cs="Times New Roman"/>
                <w:lang w:eastAsia="zh-CN"/>
              </w:rPr>
            </w:pPr>
            <w:r>
              <w:rPr>
                <w:rFonts w:hint="default" w:ascii="Times New Roman" w:hAnsi="Times New Roman" w:cs="Times New Roman"/>
              </w:rPr>
              <w:t>由于污水处理系统在实际运行过程中可能会出现各种故障，导致污水处理不完全或无法处理。建议项目设计双回路供电来避免停电带来的负面影响；污水处理系统在运行过程中应设专职技术人员加强维护管理和工艺参数控制，保证在停电、设备检修等情况下，一体化污水处理设备仍能正常运行。而且，建设单位应委托有资质的单位对项目出水口水质进行常规监测，确保达标回用</w:t>
            </w:r>
            <w:r>
              <w:rPr>
                <w:rFonts w:hint="default" w:ascii="Times New Roman" w:hAnsi="Times New Roman" w:cs="Times New Roman"/>
                <w:lang w:eastAsia="zh-CN"/>
              </w:rPr>
              <w:t>。</w:t>
            </w:r>
          </w:p>
          <w:p>
            <w:pPr>
              <w:ind w:firstLine="480"/>
              <w:rPr>
                <w:rFonts w:hint="default" w:ascii="Times New Roman" w:hAnsi="Times New Roman" w:eastAsia="宋体" w:cs="Times New Roman"/>
                <w:b/>
                <w:bCs/>
                <w:spacing w:val="-1"/>
                <w:sz w:val="24"/>
                <w:szCs w:val="24"/>
                <w:lang w:val="en-US" w:eastAsia="zh-CN"/>
              </w:rPr>
            </w:pPr>
            <w:r>
              <w:rPr>
                <w:rFonts w:hint="default" w:ascii="Times New Roman" w:hAnsi="Times New Roman" w:eastAsia="宋体" w:cs="Times New Roman"/>
                <w:b/>
                <w:bCs/>
                <w:spacing w:val="-1"/>
                <w:sz w:val="24"/>
                <w:szCs w:val="24"/>
                <w:lang w:val="en-US" w:eastAsia="zh-CN"/>
              </w:rPr>
              <w:t>3）生活污水回用可行性分析</w:t>
            </w:r>
          </w:p>
          <w:p>
            <w:pPr>
              <w:bidi w:val="0"/>
              <w:rPr>
                <w:rFonts w:hint="default" w:ascii="Times New Roman" w:hAnsi="Times New Roman" w:cs="Times New Roman"/>
              </w:rPr>
            </w:pPr>
            <w:r>
              <w:rPr>
                <w:rFonts w:hint="default" w:ascii="Times New Roman" w:hAnsi="Times New Roman" w:cs="Times New Roman"/>
              </w:rPr>
              <w:t>本项目生活污水产生量为2.4</w:t>
            </w:r>
            <w:r>
              <w:rPr>
                <w:rFonts w:hint="default" w:ascii="Times New Roman" w:hAnsi="Times New Roman" w:cs="Times New Roman"/>
                <w:lang w:eastAsia="zh-CN"/>
              </w:rPr>
              <w:t>m³</w:t>
            </w:r>
            <w:r>
              <w:rPr>
                <w:rFonts w:hint="default" w:ascii="Times New Roman" w:hAnsi="Times New Roman" w:cs="Times New Roman"/>
              </w:rPr>
              <w:t>/d，绿化用水需水量为1.5</w:t>
            </w:r>
            <w:r>
              <w:rPr>
                <w:rFonts w:hint="default" w:ascii="Times New Roman" w:hAnsi="Times New Roman" w:cs="Times New Roman"/>
                <w:lang w:eastAsia="zh-CN"/>
              </w:rPr>
              <w:t>m³</w:t>
            </w:r>
            <w:r>
              <w:rPr>
                <w:rFonts w:hint="default" w:ascii="Times New Roman" w:hAnsi="Times New Roman" w:cs="Times New Roman"/>
              </w:rPr>
              <w:t>/d，道路广场清洁需水量为2</w:t>
            </w:r>
            <w:r>
              <w:rPr>
                <w:rFonts w:hint="default" w:ascii="Times New Roman" w:hAnsi="Times New Roman" w:cs="Times New Roman"/>
                <w:lang w:eastAsia="zh-CN"/>
              </w:rPr>
              <w:t>m³</w:t>
            </w:r>
            <w:r>
              <w:rPr>
                <w:rFonts w:hint="default" w:ascii="Times New Roman" w:hAnsi="Times New Roman" w:cs="Times New Roman"/>
              </w:rPr>
              <w:t>/d，绿化及道路广场清洁用水量大于生活污水产生量，项目生活污水经处理达到《城市污水再生利用城市杂用水水质》（GB/T18920-2020）表1城市绿化、道路清扫标准后全部回用绿化标准后全部回用于</w:t>
            </w:r>
            <w:r>
              <w:rPr>
                <w:rFonts w:hint="default" w:ascii="Times New Roman" w:hAnsi="Times New Roman" w:cs="Times New Roman"/>
                <w:lang w:eastAsia="zh-CN"/>
              </w:rPr>
              <w:t>云南鑫成鹏高分子科技有限公司</w:t>
            </w:r>
            <w:r>
              <w:rPr>
                <w:rFonts w:hint="default" w:ascii="Times New Roman" w:hAnsi="Times New Roman" w:cs="Times New Roman"/>
              </w:rPr>
              <w:t>的厂区绿化。</w:t>
            </w:r>
          </w:p>
          <w:p>
            <w:pPr>
              <w:bidi w:val="0"/>
              <w:rPr>
                <w:rFonts w:hint="default" w:ascii="Times New Roman" w:hAnsi="Times New Roman" w:cs="Times New Roman"/>
              </w:rPr>
            </w:pPr>
            <w:r>
              <w:rPr>
                <w:rFonts w:hint="default" w:ascii="Times New Roman" w:hAnsi="Times New Roman" w:cs="Times New Roman"/>
              </w:rPr>
              <w:t>为保证连续7天降雨情况下，项目废水不外排，项目依托</w:t>
            </w:r>
            <w:r>
              <w:rPr>
                <w:rFonts w:hint="default" w:ascii="Times New Roman" w:hAnsi="Times New Roman" w:cs="Times New Roman"/>
                <w:lang w:eastAsia="zh-CN"/>
              </w:rPr>
              <w:t>云南鑫成鹏高分子科技有限公司</w:t>
            </w:r>
            <w:r>
              <w:rPr>
                <w:rFonts w:hint="default" w:ascii="Times New Roman" w:hAnsi="Times New Roman" w:cs="Times New Roman"/>
              </w:rPr>
              <w:t>设置的再生水蓄水池，容积为50m³。</w:t>
            </w:r>
          </w:p>
          <w:p>
            <w:pPr>
              <w:bidi w:val="0"/>
              <w:rPr>
                <w:rFonts w:hint="default" w:ascii="Times New Roman" w:hAnsi="Times New Roman" w:cs="Times New Roman"/>
              </w:rPr>
            </w:pPr>
            <w:r>
              <w:rPr>
                <w:rFonts w:hint="default" w:ascii="Times New Roman" w:hAnsi="Times New Roman" w:cs="Times New Roman"/>
              </w:rPr>
              <w:t>因此，项目内生活污水经处理后全部回用是可行可靠的。</w:t>
            </w:r>
          </w:p>
          <w:p>
            <w:pPr>
              <w:ind w:firstLine="480"/>
              <w:rPr>
                <w:rFonts w:hint="default" w:ascii="Times New Roman" w:hAnsi="Times New Roman" w:eastAsia="宋体" w:cs="Times New Roman"/>
                <w:b/>
                <w:bCs/>
                <w:spacing w:val="-1"/>
                <w:sz w:val="24"/>
                <w:szCs w:val="24"/>
                <w:lang w:val="en-US" w:eastAsia="zh-CN"/>
              </w:rPr>
            </w:pPr>
            <w:r>
              <w:rPr>
                <w:rFonts w:hint="default" w:ascii="Times New Roman" w:hAnsi="Times New Roman" w:eastAsia="宋体" w:cs="Times New Roman"/>
                <w:b/>
                <w:bCs/>
                <w:spacing w:val="-1"/>
                <w:sz w:val="24"/>
                <w:szCs w:val="24"/>
                <w:lang w:val="en-US" w:eastAsia="zh-CN"/>
              </w:rPr>
              <w:t>4）废水达标性分析</w:t>
            </w:r>
          </w:p>
          <w:p>
            <w:pPr>
              <w:bidi w:val="0"/>
              <w:rPr>
                <w:rFonts w:hint="default" w:ascii="Times New Roman" w:hAnsi="Times New Roman" w:cs="Times New Roman"/>
              </w:rPr>
            </w:pPr>
            <w:r>
              <w:rPr>
                <w:rFonts w:hint="default" w:ascii="Times New Roman" w:hAnsi="Times New Roman" w:cs="Times New Roman"/>
              </w:rPr>
              <w:t>项目应委托有资质的单位对项目废水开展污水处理工艺设计、委托有资质单位进行污水处理设施施工，采用可行性工艺，一体化污水处理设施出水需达《城市污水再生利用城市杂用水水质》（GB/T18920-2002）中表1城市绿化杂用水标准及道路清扫杂用水标准后方能回用。</w:t>
            </w:r>
          </w:p>
          <w:p>
            <w:pPr>
              <w:ind w:firstLine="480"/>
              <w:rPr>
                <w:rFonts w:hint="default" w:ascii="Times New Roman" w:hAnsi="Times New Roman" w:eastAsia="宋体" w:cs="Times New Roman"/>
                <w:b/>
                <w:bCs/>
                <w:spacing w:val="-1"/>
                <w:sz w:val="24"/>
                <w:szCs w:val="24"/>
                <w:lang w:val="en-US" w:eastAsia="zh-CN"/>
              </w:rPr>
            </w:pPr>
            <w:r>
              <w:rPr>
                <w:rFonts w:hint="default" w:ascii="Times New Roman" w:hAnsi="Times New Roman" w:eastAsia="宋体" w:cs="Times New Roman"/>
                <w:b/>
                <w:bCs/>
                <w:spacing w:val="-1"/>
                <w:sz w:val="24"/>
                <w:szCs w:val="24"/>
                <w:lang w:val="en-US" w:eastAsia="zh-CN"/>
              </w:rPr>
              <w:t>5、地表水环境影响结论</w:t>
            </w:r>
          </w:p>
          <w:p>
            <w:pPr>
              <w:bidi w:val="0"/>
              <w:rPr>
                <w:rFonts w:hint="default" w:ascii="Times New Roman" w:hAnsi="Times New Roman" w:cs="Times New Roman"/>
              </w:rPr>
            </w:pPr>
            <w:r>
              <w:rPr>
                <w:rFonts w:hint="default" w:ascii="Times New Roman" w:hAnsi="Times New Roman" w:cs="Times New Roman"/>
              </w:rPr>
              <w:t>项目实行雨污分流制，雨水设置有一套雨水收集管网，收集厂房内的雨水，经收集后由厂房西面的雨水管网外排；食堂废水经</w:t>
            </w:r>
            <w:r>
              <w:rPr>
                <w:rFonts w:hint="eastAsia" w:cs="Times New Roman"/>
                <w:lang w:eastAsia="zh-CN"/>
              </w:rPr>
              <w:t>油水分离器</w:t>
            </w:r>
            <w:r>
              <w:rPr>
                <w:rFonts w:hint="default" w:ascii="Times New Roman" w:hAnsi="Times New Roman" w:cs="Times New Roman"/>
              </w:rPr>
              <w:t>处理后与其他生活污水一起经化粪池处理后，最终进入</w:t>
            </w:r>
            <w:r>
              <w:rPr>
                <w:rFonts w:hint="default" w:ascii="Times New Roman" w:hAnsi="Times New Roman" w:cs="Times New Roman"/>
                <w:lang w:eastAsia="zh-CN"/>
              </w:rPr>
              <w:t>云南鑫成鹏高分子科技有限公司</w:t>
            </w:r>
            <w:r>
              <w:rPr>
                <w:rFonts w:hint="default" w:ascii="Times New Roman" w:hAnsi="Times New Roman" w:cs="Times New Roman"/>
              </w:rPr>
              <w:t>自建的一体化污水处理设施处理达标后晴天回用于</w:t>
            </w:r>
            <w:r>
              <w:rPr>
                <w:rFonts w:hint="default" w:ascii="Times New Roman" w:hAnsi="Times New Roman" w:cs="Times New Roman"/>
                <w:lang w:eastAsia="zh-CN"/>
              </w:rPr>
              <w:t>云南鑫成鹏高分子科技有限公司</w:t>
            </w:r>
            <w:r>
              <w:rPr>
                <w:rFonts w:hint="default" w:ascii="Times New Roman" w:hAnsi="Times New Roman" w:cs="Times New Roman"/>
              </w:rPr>
              <w:t>的绿化及道路洒水降尘，不外排，雨天暂存于回用水池。项目废水不直接外排，对周围环境影响较小。</w:t>
            </w:r>
          </w:p>
          <w:p>
            <w:pPr>
              <w:ind w:firstLine="480"/>
              <w:rPr>
                <w:rFonts w:hint="default" w:ascii="Times New Roman" w:hAnsi="Times New Roman" w:eastAsia="宋体" w:cs="Times New Roman"/>
                <w:b/>
                <w:bCs/>
                <w:spacing w:val="-1"/>
                <w:sz w:val="24"/>
                <w:szCs w:val="24"/>
                <w:lang w:val="en-US" w:eastAsia="zh-CN"/>
              </w:rPr>
            </w:pPr>
            <w:r>
              <w:rPr>
                <w:rFonts w:hint="default" w:ascii="Times New Roman" w:hAnsi="Times New Roman" w:eastAsia="宋体" w:cs="Times New Roman"/>
                <w:b/>
                <w:bCs/>
                <w:spacing w:val="-1"/>
                <w:sz w:val="24"/>
                <w:szCs w:val="24"/>
                <w:lang w:val="en-US" w:eastAsia="zh-CN"/>
              </w:rPr>
              <w:t>6、监测要求</w:t>
            </w:r>
          </w:p>
          <w:p>
            <w:pPr>
              <w:bidi w:val="0"/>
              <w:rPr>
                <w:rFonts w:hint="default" w:ascii="Times New Roman" w:hAnsi="Times New Roman" w:cs="Times New Roman"/>
              </w:rPr>
            </w:pPr>
            <w:r>
              <w:rPr>
                <w:rFonts w:hint="default" w:ascii="Times New Roman" w:hAnsi="Times New Roman" w:cs="Times New Roman"/>
              </w:rPr>
              <w:t>根据《排污单位自行监测技术指南总则》（HJ819-2017）制定本次监测计划，详见下表4-1</w:t>
            </w:r>
            <w:r>
              <w:rPr>
                <w:rFonts w:hint="default" w:ascii="Times New Roman" w:hAnsi="Times New Roman" w:cs="Times New Roman"/>
                <w:lang w:val="en-US" w:eastAsia="zh-CN"/>
              </w:rPr>
              <w:t>2</w:t>
            </w:r>
            <w:r>
              <w:rPr>
                <w:rFonts w:hint="default" w:ascii="Times New Roman" w:hAnsi="Times New Roman" w:cs="Times New Roman"/>
              </w:rPr>
              <w:t>。</w:t>
            </w:r>
          </w:p>
          <w:p>
            <w:pPr>
              <w:pStyle w:val="36"/>
              <w:bidi w:val="0"/>
              <w:rPr>
                <w:rFonts w:hint="default" w:ascii="Times New Roman" w:hAnsi="Times New Roman" w:cs="Times New Roman"/>
              </w:rPr>
            </w:pPr>
            <w:r>
              <w:rPr>
                <w:rFonts w:hint="default" w:ascii="Times New Roman" w:hAnsi="Times New Roman" w:cs="Times New Roman"/>
              </w:rPr>
              <w:t>表4-1</w:t>
            </w:r>
            <w:r>
              <w:rPr>
                <w:rFonts w:hint="default" w:ascii="Times New Roman" w:hAnsi="Times New Roman" w:cs="Times New Roman"/>
                <w:lang w:val="en-US" w:eastAsia="zh-CN"/>
              </w:rPr>
              <w:t>2</w:t>
            </w:r>
            <w:r>
              <w:rPr>
                <w:rFonts w:hint="default" w:ascii="Times New Roman" w:hAnsi="Times New Roman" w:cs="Times New Roman"/>
              </w:rPr>
              <w:t>废水监测内容</w:t>
            </w:r>
          </w:p>
          <w:tbl>
            <w:tblPr>
              <w:tblStyle w:val="9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19"/>
              <w:gridCol w:w="1252"/>
              <w:gridCol w:w="1945"/>
              <w:gridCol w:w="1223"/>
              <w:gridCol w:w="1735"/>
              <w:gridCol w:w="11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75"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监测点位</w:t>
                  </w:r>
                </w:p>
              </w:tc>
              <w:tc>
                <w:tcPr>
                  <w:tcW w:w="854"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污染物名称</w:t>
                  </w:r>
                </w:p>
              </w:tc>
              <w:tc>
                <w:tcPr>
                  <w:tcW w:w="978"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执行标准</w:t>
                  </w:r>
                </w:p>
              </w:tc>
              <w:tc>
                <w:tcPr>
                  <w:tcW w:w="83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标准限值</w:t>
                  </w:r>
                </w:p>
              </w:tc>
              <w:tc>
                <w:tcPr>
                  <w:tcW w:w="783"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监测方法</w:t>
                  </w:r>
                </w:p>
              </w:tc>
              <w:tc>
                <w:tcPr>
                  <w:tcW w:w="770"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775" w:type="pct"/>
                  <w:vMerge w:val="restar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云南鑫成鹏</w:t>
                  </w:r>
                </w:p>
                <w:p>
                  <w:pPr>
                    <w:pStyle w:val="45"/>
                    <w:bidi w:val="0"/>
                    <w:jc w:val="center"/>
                    <w:rPr>
                      <w:rFonts w:hint="default" w:ascii="Times New Roman" w:hAnsi="Times New Roman" w:cs="Times New Roman"/>
                    </w:rPr>
                  </w:pPr>
                  <w:r>
                    <w:rPr>
                      <w:rFonts w:hint="default" w:ascii="Times New Roman" w:hAnsi="Times New Roman" w:cs="Times New Roman"/>
                    </w:rPr>
                    <w:t>高分子有限</w:t>
                  </w:r>
                </w:p>
                <w:p>
                  <w:pPr>
                    <w:pStyle w:val="45"/>
                    <w:bidi w:val="0"/>
                    <w:jc w:val="center"/>
                    <w:rPr>
                      <w:rFonts w:hint="default" w:ascii="Times New Roman" w:hAnsi="Times New Roman" w:cs="Times New Roman"/>
                    </w:rPr>
                  </w:pPr>
                  <w:r>
                    <w:rPr>
                      <w:rFonts w:hint="default" w:ascii="Times New Roman" w:hAnsi="Times New Roman" w:cs="Times New Roman"/>
                    </w:rPr>
                    <w:t>公司3号厂</w:t>
                  </w:r>
                </w:p>
                <w:p>
                  <w:pPr>
                    <w:pStyle w:val="45"/>
                    <w:bidi w:val="0"/>
                    <w:jc w:val="center"/>
                    <w:rPr>
                      <w:rFonts w:hint="default" w:ascii="Times New Roman" w:hAnsi="Times New Roman" w:cs="Times New Roman"/>
                    </w:rPr>
                  </w:pPr>
                  <w:r>
                    <w:rPr>
                      <w:rFonts w:hint="default" w:ascii="Times New Roman" w:hAnsi="Times New Roman" w:cs="Times New Roman"/>
                    </w:rPr>
                    <w:t>房的化粪池</w:t>
                  </w:r>
                </w:p>
                <w:p>
                  <w:pPr>
                    <w:pStyle w:val="45"/>
                    <w:bidi w:val="0"/>
                    <w:jc w:val="center"/>
                    <w:rPr>
                      <w:rFonts w:hint="default" w:ascii="Times New Roman" w:hAnsi="Times New Roman" w:cs="Times New Roman"/>
                    </w:rPr>
                  </w:pPr>
                  <w:r>
                    <w:rPr>
                      <w:rFonts w:hint="default" w:ascii="Times New Roman" w:hAnsi="Times New Roman" w:cs="Times New Roman"/>
                    </w:rPr>
                    <w:t>出口</w:t>
                  </w:r>
                </w:p>
              </w:tc>
              <w:tc>
                <w:tcPr>
                  <w:tcW w:w="854"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pH值</w:t>
                  </w:r>
                </w:p>
              </w:tc>
              <w:tc>
                <w:tcPr>
                  <w:tcW w:w="978" w:type="pct"/>
                  <w:vMerge w:val="restar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《城市污水再生利用城市杂用水水质》</w:t>
                  </w:r>
                </w:p>
                <w:p>
                  <w:pPr>
                    <w:pStyle w:val="45"/>
                    <w:bidi w:val="0"/>
                    <w:jc w:val="center"/>
                    <w:rPr>
                      <w:rFonts w:hint="default" w:ascii="Times New Roman" w:hAnsi="Times New Roman" w:cs="Times New Roman"/>
                    </w:rPr>
                  </w:pPr>
                  <w:r>
                    <w:rPr>
                      <w:rFonts w:hint="default" w:ascii="Times New Roman" w:hAnsi="Times New Roman" w:cs="Times New Roman"/>
                    </w:rPr>
                    <w:t>（GB/T18920-2002）中表1城市绿化杂用水标准及道路清扫杂用水标准后</w:t>
                  </w:r>
                </w:p>
              </w:tc>
              <w:tc>
                <w:tcPr>
                  <w:tcW w:w="83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6.0~9.0</w:t>
                  </w:r>
                </w:p>
              </w:tc>
              <w:tc>
                <w:tcPr>
                  <w:tcW w:w="783" w:type="pct"/>
                  <w:vMerge w:val="restar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《地表水和污水监测技术规范》（HJ/T91—2002）</w:t>
                  </w:r>
                </w:p>
              </w:tc>
              <w:tc>
                <w:tcPr>
                  <w:tcW w:w="770" w:type="pct"/>
                  <w:vMerge w:val="restar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每年监测1次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775"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854"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悬浮物</w:t>
                  </w:r>
                </w:p>
              </w:tc>
              <w:tc>
                <w:tcPr>
                  <w:tcW w:w="978"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83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400</w:t>
                  </w:r>
                </w:p>
              </w:tc>
              <w:tc>
                <w:tcPr>
                  <w:tcW w:w="783"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770" w:type="pct"/>
                  <w:vMerge w:val="continue"/>
                  <w:tcBorders>
                    <w:tl2br w:val="nil"/>
                    <w:tr2bl w:val="nil"/>
                  </w:tcBorders>
                  <w:vAlign w:val="center"/>
                </w:tcPr>
                <w:p>
                  <w:pPr>
                    <w:pStyle w:val="45"/>
                    <w:bidi w:val="0"/>
                    <w:jc w:val="cente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775"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854"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化学需氧量</w:t>
                  </w:r>
                </w:p>
              </w:tc>
              <w:tc>
                <w:tcPr>
                  <w:tcW w:w="978"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83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500</w:t>
                  </w:r>
                </w:p>
              </w:tc>
              <w:tc>
                <w:tcPr>
                  <w:tcW w:w="783"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770" w:type="pct"/>
                  <w:vMerge w:val="continue"/>
                  <w:tcBorders>
                    <w:tl2br w:val="nil"/>
                    <w:tr2bl w:val="nil"/>
                  </w:tcBorders>
                  <w:vAlign w:val="center"/>
                </w:tcPr>
                <w:p>
                  <w:pPr>
                    <w:pStyle w:val="45"/>
                    <w:bidi w:val="0"/>
                    <w:jc w:val="cente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775"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854"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氨氮</w:t>
                  </w:r>
                </w:p>
              </w:tc>
              <w:tc>
                <w:tcPr>
                  <w:tcW w:w="978"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83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45</w:t>
                  </w:r>
                </w:p>
              </w:tc>
              <w:tc>
                <w:tcPr>
                  <w:tcW w:w="783"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770" w:type="pct"/>
                  <w:vMerge w:val="continue"/>
                  <w:tcBorders>
                    <w:tl2br w:val="nil"/>
                    <w:tr2bl w:val="nil"/>
                  </w:tcBorders>
                  <w:vAlign w:val="center"/>
                </w:tcPr>
                <w:p>
                  <w:pPr>
                    <w:pStyle w:val="45"/>
                    <w:bidi w:val="0"/>
                    <w:jc w:val="cente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775"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854"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总磷</w:t>
                  </w:r>
                </w:p>
              </w:tc>
              <w:tc>
                <w:tcPr>
                  <w:tcW w:w="978"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83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8</w:t>
                  </w:r>
                </w:p>
              </w:tc>
              <w:tc>
                <w:tcPr>
                  <w:tcW w:w="783"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770" w:type="pct"/>
                  <w:vMerge w:val="continue"/>
                  <w:tcBorders>
                    <w:tl2br w:val="nil"/>
                    <w:tr2bl w:val="nil"/>
                  </w:tcBorders>
                  <w:vAlign w:val="center"/>
                </w:tcPr>
                <w:p>
                  <w:pPr>
                    <w:pStyle w:val="45"/>
                    <w:bidi w:val="0"/>
                    <w:jc w:val="center"/>
                    <w:rPr>
                      <w:rFonts w:hint="default" w:ascii="Times New Roman" w:hAnsi="Times New Roman" w:cs="Times New Roman"/>
                    </w:rPr>
                  </w:pPr>
                </w:p>
              </w:tc>
            </w:tr>
          </w:tbl>
          <w:p>
            <w:pPr>
              <w:pStyle w:val="36"/>
              <w:bidi w:val="0"/>
              <w:rPr>
                <w:rFonts w:hint="default" w:ascii="Times New Roman" w:hAnsi="Times New Roman" w:cs="Times New Roman"/>
              </w:rPr>
            </w:pPr>
          </w:p>
          <w:p>
            <w:pPr>
              <w:ind w:firstLine="480"/>
              <w:rPr>
                <w:rFonts w:hint="default" w:ascii="Times New Roman" w:hAnsi="Times New Roman" w:cs="Times New Roman"/>
                <w:b/>
                <w:bCs/>
              </w:rPr>
            </w:pPr>
            <w:r>
              <w:rPr>
                <w:rFonts w:hint="default" w:ascii="Times New Roman" w:hAnsi="Times New Roman" w:cs="Times New Roman"/>
                <w:b/>
                <w:bCs/>
              </w:rPr>
              <w:t>（三）噪声</w:t>
            </w:r>
          </w:p>
          <w:p>
            <w:pPr>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（1）噪声源强</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项目运营后产生的噪声主要是机械设备运行时产生的噪声，噪声源强为70~90dB(A)。经调查，项目区内设备均为室内声源。项目噪声源强调查清单见表4-13。</w:t>
            </w:r>
          </w:p>
          <w:p>
            <w:pPr>
              <w:pStyle w:val="36"/>
              <w:bidi w:val="0"/>
              <w:rPr>
                <w:rFonts w:hint="default" w:ascii="Times New Roman" w:hAnsi="Times New Roman" w:eastAsia="宋体" w:cs="Times New Roman"/>
                <w:lang w:eastAsia="zh-CN"/>
              </w:rPr>
            </w:pPr>
          </w:p>
        </w:tc>
      </w:tr>
    </w:tbl>
    <w:p>
      <w:pPr>
        <w:pStyle w:val="24"/>
        <w:adjustRightInd w:val="0"/>
        <w:snapToGrid w:val="0"/>
        <w:spacing w:before="0" w:beforeAutospacing="0" w:after="0" w:afterAutospacing="0"/>
        <w:jc w:val="center"/>
        <w:rPr>
          <w:rFonts w:hint="default" w:ascii="Times New Roman" w:hAnsi="Times New Roman" w:cs="Times New Roman"/>
          <w:bCs/>
          <w:color w:val="auto"/>
          <w:sz w:val="21"/>
          <w:szCs w:val="21"/>
        </w:rPr>
        <w:sectPr>
          <w:pgSz w:w="11907" w:h="16840"/>
          <w:pgMar w:top="1440" w:right="1531" w:bottom="1440" w:left="1531" w:header="851" w:footer="850" w:gutter="0"/>
          <w:pgBorders>
            <w:top w:val="none" w:sz="0" w:space="0"/>
            <w:left w:val="none" w:sz="0" w:space="0"/>
            <w:bottom w:val="none" w:sz="0" w:space="0"/>
            <w:right w:val="none" w:sz="0" w:space="0"/>
          </w:pgBorders>
          <w:cols w:space="720" w:num="1"/>
          <w:docGrid w:linePitch="312" w:charSpace="0"/>
        </w:sectPr>
      </w:pPr>
    </w:p>
    <w:p>
      <w:pPr>
        <w:pStyle w:val="36"/>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4-13改扩建</w:t>
      </w:r>
      <w:r>
        <w:rPr>
          <w:rFonts w:hint="default" w:ascii="Times New Roman" w:hAnsi="Times New Roman" w:cs="Times New Roman"/>
        </w:rPr>
        <w:t>项目噪声源强调查清单（室内声源）</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55"/>
        <w:gridCol w:w="1832"/>
        <w:gridCol w:w="495"/>
        <w:gridCol w:w="895"/>
        <w:gridCol w:w="885"/>
        <w:gridCol w:w="1062"/>
        <w:gridCol w:w="989"/>
        <w:gridCol w:w="743"/>
        <w:gridCol w:w="1210"/>
        <w:gridCol w:w="1302"/>
        <w:gridCol w:w="1376"/>
        <w:gridCol w:w="1387"/>
        <w:gridCol w:w="1054"/>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restar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建筑物名称</w:t>
            </w:r>
          </w:p>
        </w:tc>
        <w:tc>
          <w:tcPr>
            <w:tcW w:w="624" w:type="pct"/>
            <w:vMerge w:val="restar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声源名称</w:t>
            </w:r>
          </w:p>
        </w:tc>
        <w:tc>
          <w:tcPr>
            <w:tcW w:w="168" w:type="pct"/>
            <w:vMerge w:val="restar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型号</w:t>
            </w:r>
          </w:p>
        </w:tc>
        <w:tc>
          <w:tcPr>
            <w:tcW w:w="305" w:type="pct"/>
            <w:vMerge w:val="restar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声功率级（dB(A)）</w:t>
            </w:r>
          </w:p>
        </w:tc>
        <w:tc>
          <w:tcPr>
            <w:tcW w:w="301" w:type="pct"/>
            <w:vMerge w:val="restar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声源控制措施</w:t>
            </w:r>
          </w:p>
        </w:tc>
        <w:tc>
          <w:tcPr>
            <w:tcW w:w="952" w:type="pct"/>
            <w:gridSpan w:val="3"/>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空间相对位置/m</w:t>
            </w:r>
          </w:p>
        </w:tc>
        <w:tc>
          <w:tcPr>
            <w:tcW w:w="412" w:type="pct"/>
            <w:vMerge w:val="restar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距室内边界距离/m</w:t>
            </w:r>
          </w:p>
        </w:tc>
        <w:tc>
          <w:tcPr>
            <w:tcW w:w="444" w:type="pct"/>
            <w:vMerge w:val="restar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室内边界声级/dB（A）</w:t>
            </w:r>
          </w:p>
        </w:tc>
        <w:tc>
          <w:tcPr>
            <w:tcW w:w="469" w:type="pct"/>
            <w:vMerge w:val="restar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运行时段</w:t>
            </w:r>
          </w:p>
        </w:tc>
        <w:tc>
          <w:tcPr>
            <w:tcW w:w="472" w:type="pct"/>
            <w:vMerge w:val="restar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建筑物插入损失/dB（A）</w:t>
            </w:r>
          </w:p>
        </w:tc>
        <w:tc>
          <w:tcPr>
            <w:tcW w:w="659" w:type="pct"/>
            <w:gridSpan w:val="2"/>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189" w:type="pct"/>
            <w:vMerge w:val="continue"/>
            <w:noWrap/>
            <w:vAlign w:val="center"/>
          </w:tcPr>
          <w:p>
            <w:pPr>
              <w:pStyle w:val="45"/>
              <w:bidi w:val="0"/>
              <w:rPr>
                <w:rFonts w:hint="default" w:ascii="Times New Roman" w:hAnsi="Times New Roman" w:cs="Times New Roman"/>
                <w:b w:val="0"/>
                <w:bCs/>
              </w:rPr>
            </w:pPr>
          </w:p>
        </w:tc>
        <w:tc>
          <w:tcPr>
            <w:tcW w:w="624" w:type="pct"/>
            <w:vMerge w:val="continue"/>
            <w:noWrap/>
            <w:vAlign w:val="center"/>
          </w:tcPr>
          <w:p>
            <w:pPr>
              <w:pStyle w:val="45"/>
              <w:bidi w:val="0"/>
              <w:rPr>
                <w:rFonts w:hint="default" w:ascii="Times New Roman" w:hAnsi="Times New Roman" w:cs="Times New Roman"/>
                <w:b w:val="0"/>
                <w:bCs/>
              </w:rPr>
            </w:pPr>
          </w:p>
        </w:tc>
        <w:tc>
          <w:tcPr>
            <w:tcW w:w="168" w:type="pct"/>
            <w:vMerge w:val="continue"/>
            <w:noWrap/>
            <w:vAlign w:val="center"/>
          </w:tcPr>
          <w:p>
            <w:pPr>
              <w:pStyle w:val="45"/>
              <w:bidi w:val="0"/>
              <w:rPr>
                <w:rFonts w:hint="default" w:ascii="Times New Roman" w:hAnsi="Times New Roman" w:cs="Times New Roman"/>
                <w:b w:val="0"/>
                <w:bCs/>
              </w:rPr>
            </w:pPr>
          </w:p>
        </w:tc>
        <w:tc>
          <w:tcPr>
            <w:tcW w:w="305" w:type="pct"/>
            <w:vMerge w:val="continue"/>
            <w:noWrap/>
            <w:vAlign w:val="center"/>
          </w:tcPr>
          <w:p>
            <w:pPr>
              <w:pStyle w:val="45"/>
              <w:bidi w:val="0"/>
              <w:rPr>
                <w:rFonts w:hint="default" w:ascii="Times New Roman" w:hAnsi="Times New Roman" w:cs="Times New Roman"/>
                <w:b w:val="0"/>
                <w:bCs/>
              </w:rPr>
            </w:pP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X</w:t>
            </w:r>
          </w:p>
        </w:tc>
        <w:tc>
          <w:tcPr>
            <w:tcW w:w="337"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Y</w:t>
            </w:r>
          </w:p>
        </w:tc>
        <w:tc>
          <w:tcPr>
            <w:tcW w:w="253"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Z</w:t>
            </w:r>
          </w:p>
        </w:tc>
        <w:tc>
          <w:tcPr>
            <w:tcW w:w="412" w:type="pct"/>
            <w:vMerge w:val="continue"/>
            <w:noWrap/>
            <w:vAlign w:val="center"/>
          </w:tcPr>
          <w:p>
            <w:pPr>
              <w:pStyle w:val="45"/>
              <w:bidi w:val="0"/>
              <w:rPr>
                <w:rFonts w:hint="default" w:ascii="Times New Roman" w:hAnsi="Times New Roman" w:cs="Times New Roman"/>
                <w:b w:val="0"/>
                <w:bCs/>
              </w:rPr>
            </w:pPr>
          </w:p>
        </w:tc>
        <w:tc>
          <w:tcPr>
            <w:tcW w:w="444" w:type="pct"/>
            <w:vMerge w:val="continue"/>
            <w:noWrap/>
            <w:vAlign w:val="center"/>
          </w:tcPr>
          <w:p>
            <w:pPr>
              <w:pStyle w:val="45"/>
              <w:bidi w:val="0"/>
              <w:rPr>
                <w:rFonts w:hint="default" w:ascii="Times New Roman" w:hAnsi="Times New Roman" w:cs="Times New Roman"/>
                <w:b w:val="0"/>
                <w:bCs/>
              </w:rPr>
            </w:pPr>
          </w:p>
        </w:tc>
        <w:tc>
          <w:tcPr>
            <w:tcW w:w="469" w:type="pct"/>
            <w:vMerge w:val="continue"/>
            <w:noWrap/>
            <w:vAlign w:val="center"/>
          </w:tcPr>
          <w:p>
            <w:pPr>
              <w:pStyle w:val="45"/>
              <w:bidi w:val="0"/>
              <w:rPr>
                <w:rFonts w:hint="default" w:ascii="Times New Roman" w:hAnsi="Times New Roman" w:cs="Times New Roman"/>
                <w:b w:val="0"/>
                <w:bCs/>
              </w:rPr>
            </w:pPr>
          </w:p>
        </w:tc>
        <w:tc>
          <w:tcPr>
            <w:tcW w:w="472" w:type="pct"/>
            <w:vMerge w:val="continue"/>
            <w:noWrap/>
            <w:vAlign w:val="center"/>
          </w:tcPr>
          <w:p>
            <w:pPr>
              <w:pStyle w:val="45"/>
              <w:bidi w:val="0"/>
              <w:rPr>
                <w:rFonts w:hint="default" w:ascii="Times New Roman" w:hAnsi="Times New Roman" w:cs="Times New Roman"/>
                <w:b w:val="0"/>
                <w:bCs/>
              </w:rPr>
            </w:pPr>
          </w:p>
        </w:tc>
        <w:tc>
          <w:tcPr>
            <w:tcW w:w="359"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声压级/dB（A）</w:t>
            </w:r>
          </w:p>
        </w:tc>
        <w:tc>
          <w:tcPr>
            <w:tcW w:w="300"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1" w:hRule="atLeast"/>
        </w:trPr>
        <w:tc>
          <w:tcPr>
            <w:tcW w:w="189" w:type="pct"/>
            <w:vMerge w:val="restar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生产车间</w:t>
            </w:r>
          </w:p>
        </w:tc>
        <w:tc>
          <w:tcPr>
            <w:tcW w:w="62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中空大线</w:t>
            </w:r>
            <w:r>
              <w:rPr>
                <w:rFonts w:hint="default" w:ascii="Times New Roman" w:hAnsi="Times New Roman" w:cs="Times New Roman"/>
                <w:b w:val="0"/>
                <w:bCs/>
                <w:lang w:val="en-US"/>
              </w:rPr>
              <w:t>1</w:t>
            </w:r>
          </w:p>
        </w:tc>
        <w:tc>
          <w:tcPr>
            <w:tcW w:w="168"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w:t>
            </w:r>
          </w:p>
        </w:tc>
        <w:tc>
          <w:tcPr>
            <w:tcW w:w="305"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80</w:t>
            </w:r>
          </w:p>
        </w:tc>
        <w:tc>
          <w:tcPr>
            <w:tcW w:w="301" w:type="pct"/>
            <w:vMerge w:val="restar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建筑隔声</w:t>
            </w:r>
          </w:p>
        </w:tc>
        <w:tc>
          <w:tcPr>
            <w:tcW w:w="362"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75.42</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22.56</w:t>
            </w:r>
          </w:p>
        </w:tc>
        <w:tc>
          <w:tcPr>
            <w:tcW w:w="253"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1.2</w:t>
            </w:r>
          </w:p>
        </w:tc>
        <w:tc>
          <w:tcPr>
            <w:tcW w:w="412"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444"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58.42</w:t>
            </w:r>
          </w:p>
        </w:tc>
        <w:tc>
          <w:tcPr>
            <w:tcW w:w="469" w:type="pct"/>
            <w:noWrap/>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rPr>
              <w:t>昼间</w:t>
            </w:r>
          </w:p>
        </w:tc>
        <w:tc>
          <w:tcPr>
            <w:tcW w:w="472"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38.42</w:t>
            </w:r>
          </w:p>
        </w:tc>
        <w:tc>
          <w:tcPr>
            <w:tcW w:w="300"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中空大线</w:t>
            </w:r>
            <w:r>
              <w:rPr>
                <w:rFonts w:hint="default" w:ascii="Times New Roman" w:hAnsi="Times New Roman" w:cs="Times New Roman"/>
                <w:b w:val="0"/>
                <w:bCs/>
                <w:lang w:val="en-US"/>
              </w:rPr>
              <w:t>2</w:t>
            </w:r>
          </w:p>
        </w:tc>
        <w:tc>
          <w:tcPr>
            <w:tcW w:w="168"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w:t>
            </w:r>
          </w:p>
        </w:tc>
        <w:tc>
          <w:tcPr>
            <w:tcW w:w="305"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80</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69.54</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22.52</w:t>
            </w:r>
          </w:p>
        </w:tc>
        <w:tc>
          <w:tcPr>
            <w:tcW w:w="253"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eastAsia="zh-CN"/>
              </w:rPr>
              <w:t>1.2</w:t>
            </w:r>
          </w:p>
        </w:tc>
        <w:tc>
          <w:tcPr>
            <w:tcW w:w="412"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15</w:t>
            </w:r>
          </w:p>
        </w:tc>
        <w:tc>
          <w:tcPr>
            <w:tcW w:w="44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56.48</w:t>
            </w:r>
          </w:p>
        </w:tc>
        <w:tc>
          <w:tcPr>
            <w:tcW w:w="469" w:type="pct"/>
            <w:noWrap/>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rPr>
              <w:t>昼间</w:t>
            </w:r>
          </w:p>
        </w:tc>
        <w:tc>
          <w:tcPr>
            <w:tcW w:w="472"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36.48</w:t>
            </w:r>
          </w:p>
        </w:tc>
        <w:tc>
          <w:tcPr>
            <w:tcW w:w="300"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中空大线</w:t>
            </w:r>
            <w:r>
              <w:rPr>
                <w:rFonts w:hint="default" w:ascii="Times New Roman" w:hAnsi="Times New Roman" w:cs="Times New Roman"/>
                <w:b w:val="0"/>
                <w:bCs/>
                <w:lang w:val="en-US"/>
              </w:rPr>
              <w:t>3</w:t>
            </w:r>
          </w:p>
        </w:tc>
        <w:tc>
          <w:tcPr>
            <w:tcW w:w="168"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w:t>
            </w:r>
          </w:p>
        </w:tc>
        <w:tc>
          <w:tcPr>
            <w:tcW w:w="305"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80</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72.85</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6.46</w:t>
            </w:r>
          </w:p>
        </w:tc>
        <w:tc>
          <w:tcPr>
            <w:tcW w:w="253"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eastAsia="zh-CN"/>
              </w:rPr>
              <w:t>1.2</w:t>
            </w:r>
          </w:p>
        </w:tc>
        <w:tc>
          <w:tcPr>
            <w:tcW w:w="412"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5</w:t>
            </w:r>
          </w:p>
        </w:tc>
        <w:tc>
          <w:tcPr>
            <w:tcW w:w="44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66</w:t>
            </w:r>
          </w:p>
        </w:tc>
        <w:tc>
          <w:tcPr>
            <w:tcW w:w="469" w:type="pct"/>
            <w:noWrap/>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rPr>
              <w:t>昼间</w:t>
            </w:r>
          </w:p>
        </w:tc>
        <w:tc>
          <w:tcPr>
            <w:tcW w:w="472"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46</w:t>
            </w:r>
          </w:p>
        </w:tc>
        <w:tc>
          <w:tcPr>
            <w:tcW w:w="300"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ind w:firstLine="0" w:firstLineChars="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中空大线4</w:t>
            </w:r>
          </w:p>
        </w:tc>
        <w:tc>
          <w:tcPr>
            <w:tcW w:w="168"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rPr>
              <w:t>/</w:t>
            </w:r>
          </w:p>
        </w:tc>
        <w:tc>
          <w:tcPr>
            <w:tcW w:w="305"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80</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66.7</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5.27</w:t>
            </w:r>
          </w:p>
        </w:tc>
        <w:tc>
          <w:tcPr>
            <w:tcW w:w="253"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eastAsia="zh-CN"/>
              </w:rPr>
              <w:t>1.2</w:t>
            </w:r>
          </w:p>
        </w:tc>
        <w:tc>
          <w:tcPr>
            <w:tcW w:w="41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5</w:t>
            </w:r>
          </w:p>
        </w:tc>
        <w:tc>
          <w:tcPr>
            <w:tcW w:w="444"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469" w:type="pct"/>
            <w:noWrap/>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rPr>
              <w:t>昼间</w:t>
            </w:r>
          </w:p>
        </w:tc>
        <w:tc>
          <w:tcPr>
            <w:tcW w:w="472"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eastAsia="zh-CN"/>
              </w:rPr>
              <w:t>46</w:t>
            </w:r>
          </w:p>
        </w:tc>
        <w:tc>
          <w:tcPr>
            <w:tcW w:w="300"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ind w:firstLine="0" w:firstLineChars="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中空大线5</w:t>
            </w:r>
          </w:p>
        </w:tc>
        <w:tc>
          <w:tcPr>
            <w:tcW w:w="168"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rPr>
              <w:t>/</w:t>
            </w:r>
          </w:p>
        </w:tc>
        <w:tc>
          <w:tcPr>
            <w:tcW w:w="305"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80</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16.27</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20.81</w:t>
            </w:r>
          </w:p>
        </w:tc>
        <w:tc>
          <w:tcPr>
            <w:tcW w:w="685" w:type="dxa"/>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eastAsia="zh-CN"/>
              </w:rPr>
              <w:t>1.2</w:t>
            </w:r>
          </w:p>
        </w:tc>
        <w:tc>
          <w:tcPr>
            <w:tcW w:w="41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17</w:t>
            </w:r>
          </w:p>
        </w:tc>
        <w:tc>
          <w:tcPr>
            <w:tcW w:w="44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55.39</w:t>
            </w:r>
          </w:p>
        </w:tc>
        <w:tc>
          <w:tcPr>
            <w:tcW w:w="469" w:type="pct"/>
            <w:noWrap/>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rPr>
              <w:t>昼间</w:t>
            </w:r>
          </w:p>
        </w:tc>
        <w:tc>
          <w:tcPr>
            <w:tcW w:w="472"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eastAsia="zh-CN"/>
              </w:rPr>
              <w:t>35.39</w:t>
            </w:r>
          </w:p>
        </w:tc>
        <w:tc>
          <w:tcPr>
            <w:tcW w:w="300"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ind w:firstLine="0" w:firstLineChars="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中空大线6</w:t>
            </w:r>
          </w:p>
        </w:tc>
        <w:tc>
          <w:tcPr>
            <w:tcW w:w="168"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rPr>
              <w:t>/</w:t>
            </w:r>
          </w:p>
        </w:tc>
        <w:tc>
          <w:tcPr>
            <w:tcW w:w="305"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80</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22.9</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20.24</w:t>
            </w:r>
          </w:p>
        </w:tc>
        <w:tc>
          <w:tcPr>
            <w:tcW w:w="685" w:type="dxa"/>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eastAsia="zh-CN"/>
              </w:rPr>
              <w:t>1.2</w:t>
            </w:r>
          </w:p>
        </w:tc>
        <w:tc>
          <w:tcPr>
            <w:tcW w:w="41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17</w:t>
            </w:r>
          </w:p>
        </w:tc>
        <w:tc>
          <w:tcPr>
            <w:tcW w:w="444"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eastAsia="zh-CN"/>
              </w:rPr>
              <w:t>55.39</w:t>
            </w:r>
          </w:p>
        </w:tc>
        <w:tc>
          <w:tcPr>
            <w:tcW w:w="469" w:type="pct"/>
            <w:noWrap/>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rPr>
              <w:t>昼间</w:t>
            </w:r>
          </w:p>
        </w:tc>
        <w:tc>
          <w:tcPr>
            <w:tcW w:w="472"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eastAsia="zh-CN"/>
              </w:rPr>
              <w:t>35.39</w:t>
            </w:r>
          </w:p>
        </w:tc>
        <w:tc>
          <w:tcPr>
            <w:tcW w:w="300"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ind w:firstLine="0" w:firstLineChars="0"/>
              <w:rPr>
                <w:rFonts w:hint="default" w:ascii="Times New Roman" w:hAnsi="Times New Roman" w:eastAsia="宋体" w:cs="Times New Roman"/>
                <w:b w:val="0"/>
                <w:bCs/>
                <w:kern w:val="2"/>
                <w:sz w:val="21"/>
                <w:szCs w:val="22"/>
                <w:lang w:val="en-US" w:eastAsia="zh-CN" w:bidi="ar-SA"/>
              </w:rPr>
            </w:pPr>
            <w:r>
              <w:rPr>
                <w:rFonts w:hint="default" w:ascii="Times New Roman" w:hAnsi="Times New Roman" w:cs="Times New Roman"/>
                <w:b w:val="0"/>
                <w:bCs/>
                <w:lang w:val="en-US" w:eastAsia="zh-CN"/>
              </w:rPr>
              <w:t>中空大线7</w:t>
            </w:r>
          </w:p>
        </w:tc>
        <w:tc>
          <w:tcPr>
            <w:tcW w:w="168"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w:t>
            </w:r>
          </w:p>
        </w:tc>
        <w:tc>
          <w:tcPr>
            <w:tcW w:w="305"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80</w:t>
            </w:r>
          </w:p>
        </w:tc>
        <w:tc>
          <w:tcPr>
            <w:tcW w:w="301" w:type="pct"/>
            <w:vMerge w:val="continue"/>
            <w:noWrap/>
            <w:vAlign w:val="center"/>
          </w:tcPr>
          <w:p>
            <w:pPr>
              <w:pStyle w:val="45"/>
              <w:bidi w:val="0"/>
              <w:rPr>
                <w:rFonts w:hint="default" w:ascii="Times New Roman" w:hAnsi="Times New Roman" w:cs="Times New Roman"/>
                <w:b w:val="0"/>
                <w:bCs/>
                <w:lang w:val="en-US"/>
              </w:rPr>
            </w:pPr>
          </w:p>
        </w:tc>
        <w:tc>
          <w:tcPr>
            <w:tcW w:w="36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29.16</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20.05</w:t>
            </w:r>
          </w:p>
        </w:tc>
        <w:tc>
          <w:tcPr>
            <w:tcW w:w="685"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41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17</w:t>
            </w:r>
          </w:p>
        </w:tc>
        <w:tc>
          <w:tcPr>
            <w:tcW w:w="44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55.39</w:t>
            </w:r>
          </w:p>
        </w:tc>
        <w:tc>
          <w:tcPr>
            <w:tcW w:w="469"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昼间</w:t>
            </w:r>
          </w:p>
        </w:tc>
        <w:tc>
          <w:tcPr>
            <w:tcW w:w="472"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35.39</w:t>
            </w:r>
          </w:p>
        </w:tc>
        <w:tc>
          <w:tcPr>
            <w:tcW w:w="300"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ind w:firstLine="0" w:firstLineChars="0"/>
              <w:rPr>
                <w:rFonts w:hint="default" w:ascii="Times New Roman" w:hAnsi="Times New Roman" w:eastAsia="宋体" w:cs="Times New Roman"/>
                <w:b w:val="0"/>
                <w:bCs/>
                <w:kern w:val="2"/>
                <w:sz w:val="21"/>
                <w:szCs w:val="22"/>
                <w:lang w:val="en-US" w:eastAsia="zh-CN" w:bidi="ar-SA"/>
              </w:rPr>
            </w:pPr>
            <w:r>
              <w:rPr>
                <w:rFonts w:hint="default" w:ascii="Times New Roman" w:hAnsi="Times New Roman" w:cs="Times New Roman"/>
                <w:b w:val="0"/>
                <w:bCs/>
                <w:kern w:val="2"/>
                <w:sz w:val="21"/>
                <w:szCs w:val="22"/>
                <w:lang w:val="en-US" w:eastAsia="zh-CN" w:bidi="ar-SA"/>
              </w:rPr>
              <w:t>行车1</w:t>
            </w:r>
          </w:p>
        </w:tc>
        <w:tc>
          <w:tcPr>
            <w:tcW w:w="168"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rPr>
              <w:t>/</w:t>
            </w:r>
          </w:p>
        </w:tc>
        <w:tc>
          <w:tcPr>
            <w:tcW w:w="305"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85</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45.44</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33.09</w:t>
            </w:r>
          </w:p>
        </w:tc>
        <w:tc>
          <w:tcPr>
            <w:tcW w:w="685" w:type="dxa"/>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eastAsia="zh-CN"/>
              </w:rPr>
              <w:t>1.2</w:t>
            </w:r>
          </w:p>
        </w:tc>
        <w:tc>
          <w:tcPr>
            <w:tcW w:w="41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4</w:t>
            </w:r>
          </w:p>
        </w:tc>
        <w:tc>
          <w:tcPr>
            <w:tcW w:w="44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72.96</w:t>
            </w:r>
          </w:p>
        </w:tc>
        <w:tc>
          <w:tcPr>
            <w:tcW w:w="469" w:type="pct"/>
            <w:noWrap/>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rPr>
              <w:t>昼间</w:t>
            </w:r>
          </w:p>
        </w:tc>
        <w:tc>
          <w:tcPr>
            <w:tcW w:w="472"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eastAsia="zh-CN"/>
              </w:rPr>
              <w:t>52.96</w:t>
            </w:r>
          </w:p>
        </w:tc>
        <w:tc>
          <w:tcPr>
            <w:tcW w:w="300"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ind w:firstLine="0" w:firstLineChars="0"/>
              <w:rPr>
                <w:rFonts w:hint="default" w:ascii="Times New Roman" w:hAnsi="Times New Roman" w:eastAsia="宋体" w:cs="Times New Roman"/>
                <w:b w:val="0"/>
                <w:bCs/>
                <w:kern w:val="2"/>
                <w:sz w:val="21"/>
                <w:szCs w:val="22"/>
                <w:lang w:val="en-US" w:eastAsia="zh-CN" w:bidi="ar-SA"/>
              </w:rPr>
            </w:pPr>
            <w:r>
              <w:rPr>
                <w:rFonts w:hint="default" w:ascii="Times New Roman" w:hAnsi="Times New Roman" w:cs="Times New Roman"/>
                <w:b w:val="0"/>
                <w:bCs/>
                <w:kern w:val="2"/>
                <w:sz w:val="21"/>
                <w:szCs w:val="22"/>
                <w:lang w:val="en-US" w:eastAsia="zh-CN" w:bidi="ar-SA"/>
              </w:rPr>
              <w:t>行车2</w:t>
            </w:r>
          </w:p>
        </w:tc>
        <w:tc>
          <w:tcPr>
            <w:tcW w:w="168"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w:t>
            </w:r>
          </w:p>
        </w:tc>
        <w:tc>
          <w:tcPr>
            <w:tcW w:w="305"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85</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45.91</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3.58</w:t>
            </w:r>
          </w:p>
        </w:tc>
        <w:tc>
          <w:tcPr>
            <w:tcW w:w="685"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41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4</w:t>
            </w:r>
          </w:p>
        </w:tc>
        <w:tc>
          <w:tcPr>
            <w:tcW w:w="44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72.96</w:t>
            </w:r>
          </w:p>
        </w:tc>
        <w:tc>
          <w:tcPr>
            <w:tcW w:w="469"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昼间</w:t>
            </w:r>
          </w:p>
        </w:tc>
        <w:tc>
          <w:tcPr>
            <w:tcW w:w="472"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52.96</w:t>
            </w:r>
          </w:p>
        </w:tc>
        <w:tc>
          <w:tcPr>
            <w:tcW w:w="300"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rPr>
              <w:t>丁基胶涂布机</w:t>
            </w:r>
            <w:r>
              <w:rPr>
                <w:rFonts w:hint="default" w:ascii="Times New Roman" w:hAnsi="Times New Roman" w:cs="Times New Roman"/>
                <w:b w:val="0"/>
                <w:bCs/>
                <w:lang w:val="en-US" w:eastAsia="zh-CN"/>
              </w:rPr>
              <w:t>1</w:t>
            </w:r>
          </w:p>
        </w:tc>
        <w:tc>
          <w:tcPr>
            <w:tcW w:w="168"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w:t>
            </w:r>
          </w:p>
        </w:tc>
        <w:tc>
          <w:tcPr>
            <w:tcW w:w="305"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70</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74.7</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22.54</w:t>
            </w:r>
          </w:p>
        </w:tc>
        <w:tc>
          <w:tcPr>
            <w:tcW w:w="685"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1116"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44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48.42</w:t>
            </w:r>
          </w:p>
        </w:tc>
        <w:tc>
          <w:tcPr>
            <w:tcW w:w="469"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昼间</w:t>
            </w:r>
          </w:p>
        </w:tc>
        <w:tc>
          <w:tcPr>
            <w:tcW w:w="472"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28.42</w:t>
            </w:r>
          </w:p>
        </w:tc>
        <w:tc>
          <w:tcPr>
            <w:tcW w:w="300"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rPr>
              <w:t>丁基胶涂布机</w:t>
            </w:r>
            <w:r>
              <w:rPr>
                <w:rFonts w:hint="default" w:ascii="Times New Roman" w:hAnsi="Times New Roman" w:cs="Times New Roman"/>
                <w:b w:val="0"/>
                <w:bCs/>
                <w:lang w:val="en-US" w:eastAsia="zh-CN"/>
              </w:rPr>
              <w:t>2</w:t>
            </w:r>
          </w:p>
        </w:tc>
        <w:tc>
          <w:tcPr>
            <w:tcW w:w="168"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w:t>
            </w:r>
          </w:p>
        </w:tc>
        <w:tc>
          <w:tcPr>
            <w:tcW w:w="305"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70</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66.09</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5.28</w:t>
            </w:r>
          </w:p>
        </w:tc>
        <w:tc>
          <w:tcPr>
            <w:tcW w:w="685"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1116"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eastAsia="zh-CN"/>
              </w:rPr>
              <w:t>15</w:t>
            </w:r>
          </w:p>
        </w:tc>
        <w:tc>
          <w:tcPr>
            <w:tcW w:w="44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46.48</w:t>
            </w:r>
          </w:p>
        </w:tc>
        <w:tc>
          <w:tcPr>
            <w:tcW w:w="469"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rPr>
              <w:t>昼间</w:t>
            </w:r>
          </w:p>
        </w:tc>
        <w:tc>
          <w:tcPr>
            <w:tcW w:w="472"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26.48</w:t>
            </w:r>
          </w:p>
        </w:tc>
        <w:tc>
          <w:tcPr>
            <w:tcW w:w="300"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7" w:hRule="atLeast"/>
        </w:trPr>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rPr>
              <w:t>丁基胶涂布机</w:t>
            </w:r>
            <w:r>
              <w:rPr>
                <w:rFonts w:hint="default" w:ascii="Times New Roman" w:hAnsi="Times New Roman" w:cs="Times New Roman"/>
                <w:b w:val="0"/>
                <w:bCs/>
                <w:lang w:val="en-US" w:eastAsia="zh-CN"/>
              </w:rPr>
              <w:t>3</w:t>
            </w:r>
          </w:p>
        </w:tc>
        <w:tc>
          <w:tcPr>
            <w:tcW w:w="168"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w:t>
            </w:r>
          </w:p>
        </w:tc>
        <w:tc>
          <w:tcPr>
            <w:tcW w:w="305" w:type="pct"/>
            <w:noWrap/>
            <w:vAlign w:val="center"/>
          </w:tcPr>
          <w:p>
            <w:pPr>
              <w:pStyle w:val="45"/>
              <w:bidi w:val="0"/>
              <w:ind w:firstLine="0" w:firstLineChars="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70</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31.88</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9.46</w:t>
            </w:r>
          </w:p>
        </w:tc>
        <w:tc>
          <w:tcPr>
            <w:tcW w:w="685"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1116"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eastAsia="zh-CN"/>
              </w:rPr>
              <w:t>5</w:t>
            </w:r>
          </w:p>
        </w:tc>
        <w:tc>
          <w:tcPr>
            <w:tcW w:w="44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56.02</w:t>
            </w:r>
          </w:p>
        </w:tc>
        <w:tc>
          <w:tcPr>
            <w:tcW w:w="469" w:type="pct"/>
            <w:noWrap/>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rPr>
              <w:t>昼间</w:t>
            </w:r>
          </w:p>
        </w:tc>
        <w:tc>
          <w:tcPr>
            <w:tcW w:w="472"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36.02</w:t>
            </w:r>
          </w:p>
        </w:tc>
        <w:tc>
          <w:tcPr>
            <w:tcW w:w="300"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rPr>
              <w:t>丁基胶涂布机</w:t>
            </w:r>
            <w:r>
              <w:rPr>
                <w:rFonts w:hint="default" w:ascii="Times New Roman" w:hAnsi="Times New Roman" w:cs="Times New Roman"/>
                <w:b w:val="0"/>
                <w:bCs/>
                <w:lang w:val="en-US" w:eastAsia="zh-CN"/>
              </w:rPr>
              <w:t>4</w:t>
            </w:r>
          </w:p>
        </w:tc>
        <w:tc>
          <w:tcPr>
            <w:tcW w:w="168"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w:t>
            </w:r>
          </w:p>
        </w:tc>
        <w:tc>
          <w:tcPr>
            <w:tcW w:w="305" w:type="pct"/>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eastAsia="zh-CN"/>
              </w:rPr>
              <w:t>70</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31.95</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10.79</w:t>
            </w:r>
          </w:p>
        </w:tc>
        <w:tc>
          <w:tcPr>
            <w:tcW w:w="685"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1116"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eastAsia="zh-CN"/>
              </w:rPr>
              <w:t>5</w:t>
            </w:r>
          </w:p>
        </w:tc>
        <w:tc>
          <w:tcPr>
            <w:tcW w:w="44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56.02</w:t>
            </w:r>
          </w:p>
        </w:tc>
        <w:tc>
          <w:tcPr>
            <w:tcW w:w="469" w:type="pct"/>
            <w:noWrap/>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rPr>
              <w:t>昼间</w:t>
            </w:r>
          </w:p>
        </w:tc>
        <w:tc>
          <w:tcPr>
            <w:tcW w:w="472"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36.02</w:t>
            </w:r>
          </w:p>
        </w:tc>
        <w:tc>
          <w:tcPr>
            <w:tcW w:w="300"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rPr>
              <w:t>丁基胶涂布机</w:t>
            </w:r>
            <w:r>
              <w:rPr>
                <w:rFonts w:hint="default" w:ascii="Times New Roman" w:hAnsi="Times New Roman" w:cs="Times New Roman"/>
                <w:b w:val="0"/>
                <w:bCs/>
                <w:lang w:val="en-US" w:eastAsia="zh-CN"/>
              </w:rPr>
              <w:t>5</w:t>
            </w:r>
          </w:p>
        </w:tc>
        <w:tc>
          <w:tcPr>
            <w:tcW w:w="168"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w:t>
            </w:r>
          </w:p>
        </w:tc>
        <w:tc>
          <w:tcPr>
            <w:tcW w:w="305" w:type="pct"/>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eastAsia="zh-CN"/>
              </w:rPr>
              <w:t>70</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28.66</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20</w:t>
            </w:r>
          </w:p>
        </w:tc>
        <w:tc>
          <w:tcPr>
            <w:tcW w:w="685"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1116"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eastAsia="zh-CN"/>
              </w:rPr>
              <w:t>17</w:t>
            </w:r>
          </w:p>
        </w:tc>
        <w:tc>
          <w:tcPr>
            <w:tcW w:w="44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45.39</w:t>
            </w:r>
          </w:p>
        </w:tc>
        <w:tc>
          <w:tcPr>
            <w:tcW w:w="469" w:type="pct"/>
            <w:noWrap/>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rPr>
              <w:t>昼间</w:t>
            </w:r>
          </w:p>
        </w:tc>
        <w:tc>
          <w:tcPr>
            <w:tcW w:w="472"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25.39</w:t>
            </w:r>
          </w:p>
        </w:tc>
        <w:tc>
          <w:tcPr>
            <w:tcW w:w="300"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rPr>
              <w:t>丁基胶涂布机</w:t>
            </w:r>
            <w:r>
              <w:rPr>
                <w:rFonts w:hint="default" w:ascii="Times New Roman" w:hAnsi="Times New Roman" w:cs="Times New Roman"/>
                <w:b w:val="0"/>
                <w:bCs/>
                <w:lang w:val="en-US" w:eastAsia="zh-CN"/>
              </w:rPr>
              <w:t>6</w:t>
            </w:r>
          </w:p>
        </w:tc>
        <w:tc>
          <w:tcPr>
            <w:tcW w:w="168"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w:t>
            </w:r>
          </w:p>
        </w:tc>
        <w:tc>
          <w:tcPr>
            <w:tcW w:w="305" w:type="pct"/>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eastAsia="zh-CN"/>
              </w:rPr>
              <w:t>70</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22.21</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20.29</w:t>
            </w:r>
          </w:p>
        </w:tc>
        <w:tc>
          <w:tcPr>
            <w:tcW w:w="685"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1116"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eastAsia="zh-CN"/>
              </w:rPr>
              <w:t>17</w:t>
            </w:r>
          </w:p>
        </w:tc>
        <w:tc>
          <w:tcPr>
            <w:tcW w:w="44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45.39</w:t>
            </w:r>
          </w:p>
        </w:tc>
        <w:tc>
          <w:tcPr>
            <w:tcW w:w="469" w:type="pct"/>
            <w:noWrap/>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rPr>
              <w:t>昼间</w:t>
            </w:r>
          </w:p>
        </w:tc>
        <w:tc>
          <w:tcPr>
            <w:tcW w:w="472"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25.39</w:t>
            </w:r>
          </w:p>
        </w:tc>
        <w:tc>
          <w:tcPr>
            <w:tcW w:w="300"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2" w:hRule="atLeast"/>
        </w:trPr>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rPr>
              <w:t>丁基胶涂布机</w:t>
            </w:r>
            <w:r>
              <w:rPr>
                <w:rFonts w:hint="default" w:ascii="Times New Roman" w:hAnsi="Times New Roman" w:cs="Times New Roman"/>
                <w:b w:val="0"/>
                <w:bCs/>
                <w:lang w:val="en-US" w:eastAsia="zh-CN"/>
              </w:rPr>
              <w:t>7</w:t>
            </w:r>
          </w:p>
        </w:tc>
        <w:tc>
          <w:tcPr>
            <w:tcW w:w="168"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w:t>
            </w:r>
          </w:p>
        </w:tc>
        <w:tc>
          <w:tcPr>
            <w:tcW w:w="305" w:type="pct"/>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eastAsia="zh-CN"/>
              </w:rPr>
              <w:t>70</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15.67</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20.78</w:t>
            </w:r>
          </w:p>
        </w:tc>
        <w:tc>
          <w:tcPr>
            <w:tcW w:w="685"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1116"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eastAsia="zh-CN"/>
              </w:rPr>
              <w:t>17</w:t>
            </w:r>
          </w:p>
        </w:tc>
        <w:tc>
          <w:tcPr>
            <w:tcW w:w="44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45.39</w:t>
            </w:r>
          </w:p>
        </w:tc>
        <w:tc>
          <w:tcPr>
            <w:tcW w:w="469" w:type="pct"/>
            <w:noWrap/>
            <w:vAlign w:val="center"/>
          </w:tcPr>
          <w:p>
            <w:pPr>
              <w:pStyle w:val="45"/>
              <w:bidi w:val="0"/>
              <w:rPr>
                <w:rFonts w:hint="default" w:ascii="Times New Roman" w:hAnsi="Times New Roman" w:cs="Times New Roman"/>
                <w:b w:val="0"/>
                <w:bCs/>
                <w:lang w:eastAsia="zh-CN"/>
              </w:rPr>
            </w:pPr>
            <w:r>
              <w:rPr>
                <w:rFonts w:hint="default" w:ascii="Times New Roman" w:hAnsi="Times New Roman" w:cs="Times New Roman"/>
                <w:b w:val="0"/>
                <w:bCs/>
              </w:rPr>
              <w:t>昼间</w:t>
            </w:r>
          </w:p>
        </w:tc>
        <w:tc>
          <w:tcPr>
            <w:tcW w:w="472"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25.39</w:t>
            </w:r>
          </w:p>
        </w:tc>
        <w:tc>
          <w:tcPr>
            <w:tcW w:w="300"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rPr>
              <w:t>自动弯管机</w:t>
            </w:r>
            <w:r>
              <w:rPr>
                <w:rFonts w:hint="default" w:ascii="Times New Roman" w:hAnsi="Times New Roman" w:cs="Times New Roman"/>
                <w:b w:val="0"/>
                <w:bCs/>
                <w:lang w:val="en-US" w:eastAsia="zh-CN"/>
              </w:rPr>
              <w:t>1</w:t>
            </w:r>
          </w:p>
        </w:tc>
        <w:tc>
          <w:tcPr>
            <w:tcW w:w="168" w:type="pct"/>
            <w:noWrap/>
            <w:vAlign w:val="center"/>
          </w:tcPr>
          <w:p>
            <w:pPr>
              <w:pStyle w:val="45"/>
              <w:bidi w:val="0"/>
              <w:rPr>
                <w:rFonts w:hint="default" w:ascii="Times New Roman" w:hAnsi="Times New Roman" w:cs="Times New Roman"/>
                <w:b w:val="0"/>
                <w:bCs/>
                <w:lang w:val="en-US"/>
              </w:rPr>
            </w:pPr>
          </w:p>
        </w:tc>
        <w:tc>
          <w:tcPr>
            <w:tcW w:w="305"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75</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31.88</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9.46</w:t>
            </w:r>
          </w:p>
        </w:tc>
        <w:tc>
          <w:tcPr>
            <w:tcW w:w="685"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41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9</w:t>
            </w:r>
          </w:p>
        </w:tc>
        <w:tc>
          <w:tcPr>
            <w:tcW w:w="44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55.96</w:t>
            </w:r>
          </w:p>
        </w:tc>
        <w:tc>
          <w:tcPr>
            <w:tcW w:w="469"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昼间</w:t>
            </w:r>
          </w:p>
        </w:tc>
        <w:tc>
          <w:tcPr>
            <w:tcW w:w="472"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35.96</w:t>
            </w:r>
          </w:p>
        </w:tc>
        <w:tc>
          <w:tcPr>
            <w:tcW w:w="300"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rPr>
              <w:t>自动弯管机</w:t>
            </w:r>
            <w:r>
              <w:rPr>
                <w:rFonts w:hint="default" w:ascii="Times New Roman" w:hAnsi="Times New Roman" w:cs="Times New Roman"/>
                <w:b w:val="0"/>
                <w:bCs/>
                <w:lang w:val="en-US" w:eastAsia="zh-CN"/>
              </w:rPr>
              <w:t>2</w:t>
            </w:r>
          </w:p>
        </w:tc>
        <w:tc>
          <w:tcPr>
            <w:tcW w:w="168" w:type="pct"/>
            <w:noWrap/>
            <w:vAlign w:val="center"/>
          </w:tcPr>
          <w:p>
            <w:pPr>
              <w:pStyle w:val="45"/>
              <w:bidi w:val="0"/>
              <w:rPr>
                <w:rFonts w:hint="default" w:ascii="Times New Roman" w:hAnsi="Times New Roman" w:cs="Times New Roman"/>
                <w:b w:val="0"/>
                <w:bCs/>
                <w:lang w:val="en-US"/>
              </w:rPr>
            </w:pPr>
          </w:p>
        </w:tc>
        <w:tc>
          <w:tcPr>
            <w:tcW w:w="305"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75</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31.95</w:t>
            </w:r>
          </w:p>
        </w:tc>
        <w:tc>
          <w:tcPr>
            <w:tcW w:w="337"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10.79</w:t>
            </w:r>
          </w:p>
        </w:tc>
        <w:tc>
          <w:tcPr>
            <w:tcW w:w="685"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41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10</w:t>
            </w:r>
          </w:p>
        </w:tc>
        <w:tc>
          <w:tcPr>
            <w:tcW w:w="44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55</w:t>
            </w:r>
          </w:p>
        </w:tc>
        <w:tc>
          <w:tcPr>
            <w:tcW w:w="469" w:type="pct"/>
            <w:noWrap/>
            <w:vAlign w:val="center"/>
          </w:tcPr>
          <w:p>
            <w:pPr>
              <w:pStyle w:val="45"/>
              <w:bidi w:val="0"/>
              <w:rPr>
                <w:rFonts w:hint="default" w:ascii="Times New Roman" w:hAnsi="Times New Roman" w:cs="Times New Roman"/>
                <w:b w:val="0"/>
                <w:bCs/>
              </w:rPr>
            </w:pPr>
            <w:r>
              <w:rPr>
                <w:rFonts w:hint="default" w:ascii="Times New Roman" w:hAnsi="Times New Roman" w:cs="Times New Roman"/>
                <w:b w:val="0"/>
                <w:bCs/>
              </w:rPr>
              <w:t>昼间</w:t>
            </w:r>
          </w:p>
        </w:tc>
        <w:tc>
          <w:tcPr>
            <w:tcW w:w="472"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35</w:t>
            </w:r>
          </w:p>
        </w:tc>
        <w:tc>
          <w:tcPr>
            <w:tcW w:w="300"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ind w:firstLine="0" w:firstLineChars="0"/>
              <w:rPr>
                <w:rFonts w:hint="default" w:ascii="Times New Roman" w:hAnsi="Times New Roman" w:cs="Times New Roman"/>
                <w:b w:val="0"/>
                <w:bCs/>
              </w:rPr>
            </w:pPr>
            <w:r>
              <w:rPr>
                <w:rFonts w:hint="default" w:ascii="Times New Roman" w:hAnsi="Times New Roman" w:cs="Times New Roman"/>
                <w:b w:val="0"/>
                <w:bCs/>
              </w:rPr>
              <w:t>自动弯管机</w:t>
            </w:r>
            <w:r>
              <w:rPr>
                <w:rFonts w:hint="default" w:ascii="Times New Roman" w:hAnsi="Times New Roman" w:cs="Times New Roman"/>
                <w:b w:val="0"/>
                <w:bCs/>
                <w:lang w:val="en-US" w:eastAsia="zh-CN"/>
              </w:rPr>
              <w:t>3</w:t>
            </w:r>
          </w:p>
        </w:tc>
        <w:tc>
          <w:tcPr>
            <w:tcW w:w="168" w:type="pct"/>
            <w:noWrap/>
            <w:vAlign w:val="center"/>
          </w:tcPr>
          <w:p>
            <w:pPr>
              <w:pStyle w:val="45"/>
              <w:bidi w:val="0"/>
              <w:ind w:firstLine="0" w:firstLineChars="0"/>
              <w:rPr>
                <w:rFonts w:hint="default" w:ascii="Times New Roman" w:hAnsi="Times New Roman" w:cs="Times New Roman"/>
                <w:b w:val="0"/>
                <w:bCs/>
                <w:lang w:val="en-US"/>
              </w:rPr>
            </w:pPr>
          </w:p>
        </w:tc>
        <w:tc>
          <w:tcPr>
            <w:tcW w:w="305" w:type="pct"/>
            <w:noWrap/>
            <w:vAlign w:val="center"/>
          </w:tcPr>
          <w:p>
            <w:pPr>
              <w:pStyle w:val="45"/>
              <w:bidi w:val="0"/>
              <w:ind w:firstLine="0" w:firstLineChars="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75</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31.99</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12.18</w:t>
            </w:r>
          </w:p>
        </w:tc>
        <w:tc>
          <w:tcPr>
            <w:tcW w:w="685"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41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11</w:t>
            </w:r>
          </w:p>
        </w:tc>
        <w:tc>
          <w:tcPr>
            <w:tcW w:w="444"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54.17</w:t>
            </w:r>
          </w:p>
        </w:tc>
        <w:tc>
          <w:tcPr>
            <w:tcW w:w="1270" w:type="dxa"/>
            <w:noWrap/>
            <w:vAlign w:val="center"/>
          </w:tcPr>
          <w:p>
            <w:pPr>
              <w:pStyle w:val="45"/>
              <w:bidi w:val="0"/>
              <w:ind w:firstLine="0" w:firstLineChars="0"/>
              <w:rPr>
                <w:rFonts w:hint="default" w:ascii="Times New Roman" w:hAnsi="Times New Roman" w:cs="Times New Roman"/>
                <w:b w:val="0"/>
                <w:bCs/>
              </w:rPr>
            </w:pPr>
            <w:r>
              <w:rPr>
                <w:rFonts w:hint="default" w:ascii="Times New Roman" w:hAnsi="Times New Roman" w:cs="Times New Roman"/>
                <w:b w:val="0"/>
                <w:bCs/>
              </w:rPr>
              <w:t>昼间</w:t>
            </w:r>
          </w:p>
        </w:tc>
        <w:tc>
          <w:tcPr>
            <w:tcW w:w="1280"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34.17</w:t>
            </w:r>
          </w:p>
        </w:tc>
        <w:tc>
          <w:tcPr>
            <w:tcW w:w="300"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rPr>
              <w:t>分子筛灌装机</w:t>
            </w:r>
            <w:r>
              <w:rPr>
                <w:rFonts w:hint="default" w:ascii="Times New Roman" w:hAnsi="Times New Roman" w:cs="Times New Roman"/>
                <w:b w:val="0"/>
                <w:bCs/>
                <w:lang w:val="en-US" w:eastAsia="zh-CN"/>
              </w:rPr>
              <w:t>1</w:t>
            </w:r>
          </w:p>
        </w:tc>
        <w:tc>
          <w:tcPr>
            <w:tcW w:w="168" w:type="pct"/>
            <w:noWrap/>
            <w:vAlign w:val="center"/>
          </w:tcPr>
          <w:p>
            <w:pPr>
              <w:pStyle w:val="45"/>
              <w:bidi w:val="0"/>
              <w:rPr>
                <w:rFonts w:hint="default" w:ascii="Times New Roman" w:hAnsi="Times New Roman" w:cs="Times New Roman"/>
                <w:b w:val="0"/>
                <w:bCs/>
                <w:lang w:val="en-US"/>
              </w:rPr>
            </w:pPr>
          </w:p>
        </w:tc>
        <w:tc>
          <w:tcPr>
            <w:tcW w:w="305"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75</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28.94</w:t>
            </w:r>
          </w:p>
        </w:tc>
        <w:tc>
          <w:tcPr>
            <w:tcW w:w="337"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12.04</w:t>
            </w:r>
          </w:p>
        </w:tc>
        <w:tc>
          <w:tcPr>
            <w:tcW w:w="685"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1116"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eastAsia="zh-CN"/>
              </w:rPr>
              <w:t>9</w:t>
            </w:r>
          </w:p>
        </w:tc>
        <w:tc>
          <w:tcPr>
            <w:tcW w:w="1202"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eastAsia="zh-CN"/>
              </w:rPr>
              <w:t>55.96</w:t>
            </w:r>
          </w:p>
        </w:tc>
        <w:tc>
          <w:tcPr>
            <w:tcW w:w="1270" w:type="dxa"/>
            <w:noWrap/>
            <w:vAlign w:val="center"/>
          </w:tcPr>
          <w:p>
            <w:pPr>
              <w:pStyle w:val="45"/>
              <w:bidi w:val="0"/>
              <w:ind w:firstLine="0" w:firstLineChars="0"/>
              <w:rPr>
                <w:rFonts w:hint="default" w:ascii="Times New Roman" w:hAnsi="Times New Roman" w:cs="Times New Roman"/>
                <w:b w:val="0"/>
                <w:bCs/>
              </w:rPr>
            </w:pPr>
            <w:r>
              <w:rPr>
                <w:rFonts w:hint="default" w:ascii="Times New Roman" w:hAnsi="Times New Roman" w:cs="Times New Roman"/>
                <w:b w:val="0"/>
                <w:bCs/>
              </w:rPr>
              <w:t>昼间</w:t>
            </w:r>
          </w:p>
        </w:tc>
        <w:tc>
          <w:tcPr>
            <w:tcW w:w="1280"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35.96</w:t>
            </w:r>
          </w:p>
        </w:tc>
        <w:tc>
          <w:tcPr>
            <w:tcW w:w="300"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rPr>
              <w:t>分子筛灌装机</w:t>
            </w:r>
            <w:r>
              <w:rPr>
                <w:rFonts w:hint="default" w:ascii="Times New Roman" w:hAnsi="Times New Roman" w:cs="Times New Roman"/>
                <w:b w:val="0"/>
                <w:bCs/>
                <w:lang w:val="en-US" w:eastAsia="zh-CN"/>
              </w:rPr>
              <w:t>2</w:t>
            </w:r>
          </w:p>
        </w:tc>
        <w:tc>
          <w:tcPr>
            <w:tcW w:w="168" w:type="pct"/>
            <w:noWrap/>
            <w:vAlign w:val="center"/>
          </w:tcPr>
          <w:p>
            <w:pPr>
              <w:pStyle w:val="45"/>
              <w:bidi w:val="0"/>
              <w:rPr>
                <w:rFonts w:hint="default" w:ascii="Times New Roman" w:hAnsi="Times New Roman" w:cs="Times New Roman"/>
                <w:b w:val="0"/>
                <w:bCs/>
                <w:lang w:val="en-US"/>
              </w:rPr>
            </w:pPr>
          </w:p>
        </w:tc>
        <w:tc>
          <w:tcPr>
            <w:tcW w:w="305"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75</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28.98</w:t>
            </w:r>
          </w:p>
        </w:tc>
        <w:tc>
          <w:tcPr>
            <w:tcW w:w="337"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9.72</w:t>
            </w:r>
          </w:p>
        </w:tc>
        <w:tc>
          <w:tcPr>
            <w:tcW w:w="685"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1116"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eastAsia="zh-CN"/>
              </w:rPr>
              <w:t>10</w:t>
            </w:r>
          </w:p>
        </w:tc>
        <w:tc>
          <w:tcPr>
            <w:tcW w:w="1202"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eastAsia="zh-CN"/>
              </w:rPr>
              <w:t>55</w:t>
            </w:r>
          </w:p>
        </w:tc>
        <w:tc>
          <w:tcPr>
            <w:tcW w:w="1270" w:type="dxa"/>
            <w:noWrap/>
            <w:vAlign w:val="center"/>
          </w:tcPr>
          <w:p>
            <w:pPr>
              <w:pStyle w:val="45"/>
              <w:bidi w:val="0"/>
              <w:ind w:firstLine="0" w:firstLineChars="0"/>
              <w:rPr>
                <w:rFonts w:hint="default" w:ascii="Times New Roman" w:hAnsi="Times New Roman" w:cs="Times New Roman"/>
                <w:b w:val="0"/>
                <w:bCs/>
              </w:rPr>
            </w:pPr>
            <w:r>
              <w:rPr>
                <w:rFonts w:hint="default" w:ascii="Times New Roman" w:hAnsi="Times New Roman" w:cs="Times New Roman"/>
                <w:b w:val="0"/>
                <w:bCs/>
              </w:rPr>
              <w:t>昼间</w:t>
            </w:r>
          </w:p>
        </w:tc>
        <w:tc>
          <w:tcPr>
            <w:tcW w:w="1280"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35</w:t>
            </w:r>
          </w:p>
        </w:tc>
        <w:tc>
          <w:tcPr>
            <w:tcW w:w="300"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ind w:firstLine="0" w:firstLineChars="0"/>
              <w:rPr>
                <w:rFonts w:hint="default" w:ascii="Times New Roman" w:hAnsi="Times New Roman" w:eastAsia="宋体" w:cs="Times New Roman"/>
                <w:b w:val="0"/>
                <w:bCs/>
                <w:kern w:val="2"/>
                <w:sz w:val="21"/>
                <w:szCs w:val="22"/>
                <w:lang w:val="en-US" w:eastAsia="zh-CN" w:bidi="ar-SA"/>
              </w:rPr>
            </w:pPr>
            <w:r>
              <w:rPr>
                <w:rFonts w:hint="default" w:ascii="Times New Roman" w:hAnsi="Times New Roman" w:cs="Times New Roman"/>
                <w:b w:val="0"/>
                <w:bCs/>
              </w:rPr>
              <w:t>分子筛灌装机</w:t>
            </w:r>
            <w:r>
              <w:rPr>
                <w:rFonts w:hint="default" w:ascii="Times New Roman" w:hAnsi="Times New Roman" w:cs="Times New Roman"/>
                <w:b w:val="0"/>
                <w:bCs/>
                <w:lang w:val="en-US" w:eastAsia="zh-CN"/>
              </w:rPr>
              <w:t>3</w:t>
            </w:r>
          </w:p>
        </w:tc>
        <w:tc>
          <w:tcPr>
            <w:tcW w:w="168" w:type="pct"/>
            <w:noWrap/>
            <w:vAlign w:val="center"/>
          </w:tcPr>
          <w:p>
            <w:pPr>
              <w:pStyle w:val="45"/>
              <w:bidi w:val="0"/>
              <w:ind w:firstLine="0" w:firstLineChars="0"/>
              <w:rPr>
                <w:rFonts w:hint="default" w:ascii="Times New Roman" w:hAnsi="Times New Roman" w:eastAsia="宋体" w:cs="Times New Roman"/>
                <w:b w:val="0"/>
                <w:bCs/>
                <w:kern w:val="2"/>
                <w:sz w:val="21"/>
                <w:szCs w:val="22"/>
                <w:lang w:val="en-US" w:eastAsia="zh-CN" w:bidi="ar-SA"/>
              </w:rPr>
            </w:pPr>
          </w:p>
        </w:tc>
        <w:tc>
          <w:tcPr>
            <w:tcW w:w="305" w:type="pct"/>
            <w:noWrap/>
            <w:vAlign w:val="center"/>
          </w:tcPr>
          <w:p>
            <w:pPr>
              <w:pStyle w:val="45"/>
              <w:bidi w:val="0"/>
              <w:ind w:firstLine="0" w:firstLineChars="0"/>
              <w:rPr>
                <w:rFonts w:hint="default" w:ascii="Times New Roman" w:hAnsi="Times New Roman" w:eastAsia="宋体" w:cs="Times New Roman"/>
                <w:b w:val="0"/>
                <w:bCs/>
                <w:kern w:val="2"/>
                <w:sz w:val="21"/>
                <w:szCs w:val="22"/>
                <w:lang w:val="en-US" w:eastAsia="zh-CN" w:bidi="ar-SA"/>
              </w:rPr>
            </w:pPr>
            <w:r>
              <w:rPr>
                <w:rFonts w:hint="default" w:ascii="Times New Roman" w:hAnsi="Times New Roman" w:cs="Times New Roman"/>
                <w:b w:val="0"/>
                <w:bCs/>
                <w:lang w:val="en-US" w:eastAsia="zh-CN"/>
              </w:rPr>
              <w:t>75</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28.91</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8.81</w:t>
            </w:r>
          </w:p>
        </w:tc>
        <w:tc>
          <w:tcPr>
            <w:tcW w:w="685"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1116"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eastAsia="zh-CN"/>
              </w:rPr>
              <w:t>11</w:t>
            </w:r>
          </w:p>
        </w:tc>
        <w:tc>
          <w:tcPr>
            <w:tcW w:w="1202" w:type="dxa"/>
            <w:noWrap/>
            <w:vAlign w:val="center"/>
          </w:tcPr>
          <w:p>
            <w:pPr>
              <w:pStyle w:val="45"/>
              <w:bidi w:val="0"/>
              <w:ind w:firstLine="0" w:firstLineChars="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54.17</w:t>
            </w:r>
          </w:p>
        </w:tc>
        <w:tc>
          <w:tcPr>
            <w:tcW w:w="1270" w:type="dxa"/>
            <w:noWrap/>
            <w:vAlign w:val="center"/>
          </w:tcPr>
          <w:p>
            <w:pPr>
              <w:pStyle w:val="45"/>
              <w:bidi w:val="0"/>
              <w:ind w:firstLine="0" w:firstLineChars="0"/>
              <w:rPr>
                <w:rFonts w:hint="default" w:ascii="Times New Roman" w:hAnsi="Times New Roman" w:cs="Times New Roman"/>
                <w:b w:val="0"/>
                <w:bCs/>
              </w:rPr>
            </w:pPr>
            <w:r>
              <w:rPr>
                <w:rFonts w:hint="default" w:ascii="Times New Roman" w:hAnsi="Times New Roman" w:cs="Times New Roman"/>
                <w:b w:val="0"/>
                <w:bCs/>
              </w:rPr>
              <w:t>昼间</w:t>
            </w:r>
          </w:p>
        </w:tc>
        <w:tc>
          <w:tcPr>
            <w:tcW w:w="1280"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34.17</w:t>
            </w:r>
          </w:p>
        </w:tc>
        <w:tc>
          <w:tcPr>
            <w:tcW w:w="300"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rPr>
              <w:t>打包机</w:t>
            </w:r>
            <w:r>
              <w:rPr>
                <w:rFonts w:hint="default" w:ascii="Times New Roman" w:hAnsi="Times New Roman" w:cs="Times New Roman"/>
                <w:b w:val="0"/>
                <w:bCs/>
                <w:lang w:val="en-US" w:eastAsia="zh-CN"/>
              </w:rPr>
              <w:t>1</w:t>
            </w:r>
          </w:p>
        </w:tc>
        <w:tc>
          <w:tcPr>
            <w:tcW w:w="168" w:type="pct"/>
            <w:noWrap/>
            <w:vAlign w:val="center"/>
          </w:tcPr>
          <w:p>
            <w:pPr>
              <w:pStyle w:val="45"/>
              <w:bidi w:val="0"/>
              <w:rPr>
                <w:rFonts w:hint="default" w:ascii="Times New Roman" w:hAnsi="Times New Roman" w:eastAsia="宋体" w:cs="Times New Roman"/>
                <w:b w:val="0"/>
                <w:bCs/>
                <w:lang w:val="en-US" w:eastAsia="zh-CN"/>
              </w:rPr>
            </w:pPr>
          </w:p>
        </w:tc>
        <w:tc>
          <w:tcPr>
            <w:tcW w:w="305"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80</w:t>
            </w:r>
          </w:p>
        </w:tc>
        <w:tc>
          <w:tcPr>
            <w:tcW w:w="301" w:type="pct"/>
            <w:vMerge w:val="continue"/>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20.28</w:t>
            </w:r>
          </w:p>
        </w:tc>
        <w:tc>
          <w:tcPr>
            <w:tcW w:w="337"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12.01</w:t>
            </w:r>
          </w:p>
        </w:tc>
        <w:tc>
          <w:tcPr>
            <w:tcW w:w="685"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412"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8</w:t>
            </w:r>
          </w:p>
        </w:tc>
        <w:tc>
          <w:tcPr>
            <w:tcW w:w="444"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61.94</w:t>
            </w:r>
          </w:p>
        </w:tc>
        <w:tc>
          <w:tcPr>
            <w:tcW w:w="1270" w:type="dxa"/>
            <w:noWrap/>
            <w:vAlign w:val="center"/>
          </w:tcPr>
          <w:p>
            <w:pPr>
              <w:pStyle w:val="45"/>
              <w:bidi w:val="0"/>
              <w:ind w:firstLine="0" w:firstLineChars="0"/>
              <w:rPr>
                <w:rFonts w:hint="default" w:ascii="Times New Roman" w:hAnsi="Times New Roman" w:cs="Times New Roman"/>
                <w:b w:val="0"/>
                <w:bCs/>
              </w:rPr>
            </w:pPr>
            <w:r>
              <w:rPr>
                <w:rFonts w:hint="default" w:ascii="Times New Roman" w:hAnsi="Times New Roman" w:cs="Times New Roman"/>
                <w:b w:val="0"/>
                <w:bCs/>
              </w:rPr>
              <w:t>昼间</w:t>
            </w:r>
          </w:p>
        </w:tc>
        <w:tc>
          <w:tcPr>
            <w:tcW w:w="1280"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41.94</w:t>
            </w:r>
          </w:p>
        </w:tc>
        <w:tc>
          <w:tcPr>
            <w:tcW w:w="300" w:type="pct"/>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rPr>
              <w:t>打包机</w:t>
            </w:r>
            <w:r>
              <w:rPr>
                <w:rFonts w:hint="default" w:ascii="Times New Roman" w:hAnsi="Times New Roman" w:cs="Times New Roman"/>
                <w:b w:val="0"/>
                <w:bCs/>
                <w:lang w:val="en-US" w:eastAsia="zh-CN"/>
              </w:rPr>
              <w:t>2</w:t>
            </w:r>
          </w:p>
        </w:tc>
        <w:tc>
          <w:tcPr>
            <w:tcW w:w="168" w:type="pct"/>
            <w:noWrap/>
            <w:vAlign w:val="center"/>
          </w:tcPr>
          <w:p>
            <w:pPr>
              <w:pStyle w:val="45"/>
              <w:bidi w:val="0"/>
              <w:rPr>
                <w:rFonts w:hint="default" w:ascii="Times New Roman" w:hAnsi="Times New Roman" w:cs="Times New Roman"/>
                <w:b w:val="0"/>
                <w:bCs/>
                <w:lang w:val="en-US"/>
              </w:rPr>
            </w:pPr>
          </w:p>
        </w:tc>
        <w:tc>
          <w:tcPr>
            <w:tcW w:w="305"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80</w:t>
            </w:r>
          </w:p>
        </w:tc>
        <w:tc>
          <w:tcPr>
            <w:tcW w:w="301" w:type="pct"/>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20.93</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7.99</w:t>
            </w:r>
          </w:p>
        </w:tc>
        <w:tc>
          <w:tcPr>
            <w:tcW w:w="685" w:type="dxa"/>
            <w:noWrap/>
            <w:vAlign w:val="center"/>
          </w:tcPr>
          <w:p>
            <w:pPr>
              <w:pStyle w:val="45"/>
              <w:bidi w:val="0"/>
              <w:rPr>
                <w:rFonts w:hint="default" w:ascii="Times New Roman" w:hAnsi="Times New Roman" w:cs="Times New Roman"/>
                <w:b w:val="0"/>
                <w:bCs/>
                <w:lang w:val="en-US"/>
              </w:rPr>
            </w:pPr>
            <w:r>
              <w:rPr>
                <w:rFonts w:hint="default" w:ascii="Times New Roman" w:hAnsi="Times New Roman" w:cs="Times New Roman"/>
                <w:b w:val="0"/>
                <w:bCs/>
                <w:lang w:val="en-US" w:eastAsia="zh-CN"/>
              </w:rPr>
              <w:t>1.2</w:t>
            </w:r>
          </w:p>
        </w:tc>
        <w:tc>
          <w:tcPr>
            <w:tcW w:w="412"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12</w:t>
            </w:r>
          </w:p>
        </w:tc>
        <w:tc>
          <w:tcPr>
            <w:tcW w:w="444"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58.42</w:t>
            </w:r>
          </w:p>
        </w:tc>
        <w:tc>
          <w:tcPr>
            <w:tcW w:w="1270" w:type="dxa"/>
            <w:noWrap/>
            <w:vAlign w:val="center"/>
          </w:tcPr>
          <w:p>
            <w:pPr>
              <w:pStyle w:val="45"/>
              <w:bidi w:val="0"/>
              <w:ind w:firstLine="0" w:firstLineChars="0"/>
              <w:rPr>
                <w:rFonts w:hint="default" w:ascii="Times New Roman" w:hAnsi="Times New Roman" w:cs="Times New Roman"/>
                <w:b w:val="0"/>
                <w:bCs/>
              </w:rPr>
            </w:pPr>
            <w:r>
              <w:rPr>
                <w:rFonts w:hint="default" w:ascii="Times New Roman" w:hAnsi="Times New Roman" w:cs="Times New Roman"/>
                <w:b w:val="0"/>
                <w:bCs/>
              </w:rPr>
              <w:t>昼间</w:t>
            </w:r>
          </w:p>
        </w:tc>
        <w:tc>
          <w:tcPr>
            <w:tcW w:w="1280"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38.42</w:t>
            </w:r>
          </w:p>
        </w:tc>
        <w:tc>
          <w:tcPr>
            <w:tcW w:w="300" w:type="pct"/>
            <w:noWrap/>
            <w:vAlign w:val="center"/>
          </w:tcPr>
          <w:p>
            <w:pPr>
              <w:pStyle w:val="45"/>
              <w:bidi w:val="0"/>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45"/>
              <w:bidi w:val="0"/>
              <w:rPr>
                <w:rFonts w:hint="default" w:ascii="Times New Roman" w:hAnsi="Times New Roman" w:cs="Times New Roman"/>
                <w:b w:val="0"/>
                <w:bCs/>
              </w:rPr>
            </w:pPr>
          </w:p>
        </w:tc>
        <w:tc>
          <w:tcPr>
            <w:tcW w:w="624"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空压机</w:t>
            </w:r>
          </w:p>
        </w:tc>
        <w:tc>
          <w:tcPr>
            <w:tcW w:w="168" w:type="pct"/>
            <w:noWrap/>
            <w:vAlign w:val="center"/>
          </w:tcPr>
          <w:p>
            <w:pPr>
              <w:pStyle w:val="45"/>
              <w:bidi w:val="0"/>
              <w:rPr>
                <w:rFonts w:hint="default" w:ascii="Times New Roman" w:hAnsi="Times New Roman" w:cs="Times New Roman"/>
                <w:b w:val="0"/>
                <w:bCs/>
                <w:lang w:val="en-US"/>
              </w:rPr>
            </w:pPr>
          </w:p>
        </w:tc>
        <w:tc>
          <w:tcPr>
            <w:tcW w:w="305"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90</w:t>
            </w:r>
          </w:p>
        </w:tc>
        <w:tc>
          <w:tcPr>
            <w:tcW w:w="301" w:type="pct"/>
            <w:noWrap/>
            <w:vAlign w:val="center"/>
          </w:tcPr>
          <w:p>
            <w:pPr>
              <w:pStyle w:val="45"/>
              <w:bidi w:val="0"/>
              <w:rPr>
                <w:rFonts w:hint="default" w:ascii="Times New Roman" w:hAnsi="Times New Roman" w:cs="Times New Roman"/>
                <w:b w:val="0"/>
                <w:bCs/>
              </w:rPr>
            </w:pPr>
          </w:p>
        </w:tc>
        <w:tc>
          <w:tcPr>
            <w:tcW w:w="362"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11.07</w:t>
            </w:r>
          </w:p>
        </w:tc>
        <w:tc>
          <w:tcPr>
            <w:tcW w:w="337"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6.29</w:t>
            </w:r>
          </w:p>
        </w:tc>
        <w:tc>
          <w:tcPr>
            <w:tcW w:w="685" w:type="dxa"/>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1.2</w:t>
            </w:r>
          </w:p>
        </w:tc>
        <w:tc>
          <w:tcPr>
            <w:tcW w:w="412"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w:t>
            </w:r>
          </w:p>
        </w:tc>
        <w:tc>
          <w:tcPr>
            <w:tcW w:w="444"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74.44</w:t>
            </w:r>
          </w:p>
        </w:tc>
        <w:tc>
          <w:tcPr>
            <w:tcW w:w="1270" w:type="dxa"/>
            <w:noWrap/>
            <w:vAlign w:val="center"/>
          </w:tcPr>
          <w:p>
            <w:pPr>
              <w:pStyle w:val="45"/>
              <w:bidi w:val="0"/>
              <w:ind w:firstLine="0" w:firstLineChars="0"/>
              <w:rPr>
                <w:rFonts w:hint="default" w:ascii="Times New Roman" w:hAnsi="Times New Roman" w:cs="Times New Roman"/>
                <w:b w:val="0"/>
                <w:bCs/>
              </w:rPr>
            </w:pPr>
            <w:r>
              <w:rPr>
                <w:rFonts w:hint="default" w:ascii="Times New Roman" w:hAnsi="Times New Roman" w:cs="Times New Roman"/>
                <w:b w:val="0"/>
                <w:bCs/>
              </w:rPr>
              <w:t>昼间</w:t>
            </w:r>
          </w:p>
        </w:tc>
        <w:tc>
          <w:tcPr>
            <w:tcW w:w="1280" w:type="dxa"/>
            <w:noWrap/>
            <w:vAlign w:val="center"/>
          </w:tcPr>
          <w:p>
            <w:pPr>
              <w:pStyle w:val="45"/>
              <w:bidi w:val="0"/>
              <w:ind w:firstLine="0" w:firstLineChars="0"/>
              <w:rPr>
                <w:rFonts w:hint="default" w:ascii="Times New Roman" w:hAnsi="Times New Roman" w:cs="Times New Roman"/>
                <w:b w:val="0"/>
                <w:bCs/>
                <w:lang w:val="en-US"/>
              </w:rPr>
            </w:pPr>
            <w:r>
              <w:rPr>
                <w:rFonts w:hint="default" w:ascii="Times New Roman" w:hAnsi="Times New Roman" w:cs="Times New Roman"/>
                <w:b w:val="0"/>
                <w:bCs/>
                <w:lang w:val="en-US"/>
              </w:rPr>
              <w:t>20</w:t>
            </w:r>
          </w:p>
        </w:tc>
        <w:tc>
          <w:tcPr>
            <w:tcW w:w="1054" w:type="dxa"/>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54.44</w:t>
            </w:r>
          </w:p>
        </w:tc>
        <w:tc>
          <w:tcPr>
            <w:tcW w:w="300" w:type="pct"/>
            <w:noWrap/>
            <w:vAlign w:val="center"/>
          </w:tcPr>
          <w:p>
            <w:pPr>
              <w:pStyle w:val="45"/>
              <w:bidi w:val="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r>
    </w:tbl>
    <w:p>
      <w:pPr>
        <w:ind w:left="0" w:leftChars="0" w:firstLine="0" w:firstLineChars="0"/>
        <w:jc w:val="center"/>
        <w:rPr>
          <w:rFonts w:hint="default" w:ascii="Times New Roman" w:hAnsi="Times New Roman" w:eastAsia="黑体" w:cs="Times New Roman"/>
          <w:snapToGrid w:val="0"/>
          <w:color w:val="auto"/>
          <w:sz w:val="30"/>
          <w:szCs w:val="30"/>
        </w:rPr>
        <w:sectPr>
          <w:pgSz w:w="16838" w:h="11906" w:orient="landscape"/>
          <w:pgMar w:top="1531" w:right="1134" w:bottom="1531" w:left="1134" w:header="851" w:footer="850"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黑体" w:cs="Times New Roman"/>
          <w:snapToGrid w:val="0"/>
          <w:color w:val="auto"/>
          <w:sz w:val="30"/>
          <w:szCs w:val="30"/>
        </w:rPr>
        <w:br w:type="page"/>
      </w:r>
    </w:p>
    <w:tbl>
      <w:tblPr>
        <w:tblStyle w:val="2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87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94" w:hRule="atLeast"/>
          <w:jc w:val="center"/>
        </w:trPr>
        <w:tc>
          <w:tcPr>
            <w:tcW w:w="746" w:type="dxa"/>
            <w:tcMar>
              <w:left w:w="28" w:type="dxa"/>
              <w:right w:w="28" w:type="dxa"/>
            </w:tcMar>
            <w:vAlign w:val="center"/>
          </w:tcPr>
          <w:p>
            <w:pPr>
              <w:pStyle w:val="45"/>
              <w:bidi w:val="0"/>
              <w:rPr>
                <w:rFonts w:hint="default" w:ascii="Times New Roman" w:hAnsi="Times New Roman" w:cs="Times New Roman"/>
              </w:rPr>
            </w:pPr>
            <w:r>
              <w:rPr>
                <w:rFonts w:hint="default" w:ascii="Times New Roman" w:hAnsi="Times New Roman" w:cs="Times New Roman"/>
              </w:rPr>
              <w:t>运营</w:t>
            </w:r>
          </w:p>
          <w:p>
            <w:pPr>
              <w:pStyle w:val="45"/>
              <w:bidi w:val="0"/>
              <w:rPr>
                <w:rFonts w:hint="default" w:ascii="Times New Roman" w:hAnsi="Times New Roman" w:cs="Times New Roman"/>
              </w:rPr>
            </w:pPr>
            <w:r>
              <w:rPr>
                <w:rFonts w:hint="default" w:ascii="Times New Roman" w:hAnsi="Times New Roman" w:cs="Times New Roman"/>
              </w:rPr>
              <w:t>期环</w:t>
            </w:r>
          </w:p>
          <w:p>
            <w:pPr>
              <w:pStyle w:val="45"/>
              <w:bidi w:val="0"/>
              <w:rPr>
                <w:rFonts w:hint="default" w:ascii="Times New Roman" w:hAnsi="Times New Roman" w:cs="Times New Roman"/>
              </w:rPr>
            </w:pPr>
            <w:r>
              <w:rPr>
                <w:rFonts w:hint="default" w:ascii="Times New Roman" w:hAnsi="Times New Roman" w:cs="Times New Roman"/>
              </w:rPr>
              <w:t>境影</w:t>
            </w:r>
          </w:p>
          <w:p>
            <w:pPr>
              <w:pStyle w:val="45"/>
              <w:bidi w:val="0"/>
              <w:rPr>
                <w:rFonts w:hint="default" w:ascii="Times New Roman" w:hAnsi="Times New Roman" w:cs="Times New Roman"/>
              </w:rPr>
            </w:pPr>
            <w:r>
              <w:rPr>
                <w:rFonts w:hint="default" w:ascii="Times New Roman" w:hAnsi="Times New Roman" w:cs="Times New Roman"/>
              </w:rPr>
              <w:t>响和</w:t>
            </w:r>
          </w:p>
          <w:p>
            <w:pPr>
              <w:pStyle w:val="45"/>
              <w:bidi w:val="0"/>
              <w:rPr>
                <w:rFonts w:hint="default" w:ascii="Times New Roman" w:hAnsi="Times New Roman" w:cs="Times New Roman"/>
              </w:rPr>
            </w:pPr>
            <w:r>
              <w:rPr>
                <w:rFonts w:hint="default" w:ascii="Times New Roman" w:hAnsi="Times New Roman" w:cs="Times New Roman"/>
              </w:rPr>
              <w:t>保护</w:t>
            </w:r>
          </w:p>
          <w:p>
            <w:pPr>
              <w:pStyle w:val="45"/>
              <w:bidi w:val="0"/>
              <w:rPr>
                <w:rFonts w:hint="default" w:ascii="Times New Roman" w:hAnsi="Times New Roman" w:cs="Times New Roman"/>
              </w:rPr>
            </w:pPr>
            <w:r>
              <w:rPr>
                <w:rFonts w:hint="default" w:ascii="Times New Roman" w:hAnsi="Times New Roman" w:cs="Times New Roman"/>
              </w:rPr>
              <w:t>措施</w:t>
            </w:r>
          </w:p>
        </w:tc>
        <w:tc>
          <w:tcPr>
            <w:tcW w:w="8162" w:type="dxa"/>
            <w:vAlign w:val="top"/>
          </w:tcPr>
          <w:p>
            <w:pPr>
              <w:pStyle w:val="18"/>
              <w:adjustRightInd w:val="0"/>
              <w:ind w:firstLine="482" w:firstLineChars="200"/>
              <w:jc w:val="both"/>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（2）达标情况分析</w:t>
            </w:r>
          </w:p>
          <w:p>
            <w:pPr>
              <w:ind w:firstLine="480"/>
              <w:rPr>
                <w:rFonts w:hint="default" w:ascii="Times New Roman" w:hAnsi="Times New Roman" w:cs="Times New Roman"/>
              </w:rPr>
            </w:pPr>
            <w:r>
              <w:rPr>
                <w:rFonts w:hint="default" w:ascii="Times New Roman" w:hAnsi="Times New Roman" w:cs="Times New Roman"/>
              </w:rPr>
              <w:t>根据项目建设内容及《环境影响评价技术导则声环境》(HJ2.4-2021)的要求，项目环评采用的模型为《环境影响评价技术导则声环境》(HJ2.4.2021)附录A(规范性附录)户外声传播的衰减和附录B(规范性附录)中“B.1工业噪声预测计算模型”。</w:t>
            </w:r>
          </w:p>
          <w:p>
            <w:pPr>
              <w:ind w:firstLine="480"/>
              <w:rPr>
                <w:rFonts w:hint="default" w:ascii="Times New Roman" w:hAnsi="Times New Roman" w:cs="Times New Roman"/>
              </w:rPr>
            </w:pPr>
            <w:r>
              <w:rPr>
                <w:rFonts w:hint="default" w:ascii="Times New Roman" w:hAnsi="Times New Roman" w:cs="Times New Roman"/>
              </w:rPr>
              <w:t>根据《环境影响评价技术导则声环境》(HJ2.4-2021)，户外声传播衰减包括几何发散(Adiv)、大气吸收(Aatm)、地面效应(Agr)、障碍物屏蔽(Abar)、其他多方面效应(Amisc)引起的衰减：</w:t>
            </w:r>
          </w:p>
          <w:p>
            <w:pPr>
              <w:ind w:firstLine="480"/>
              <w:rPr>
                <w:rFonts w:hint="default" w:ascii="Times New Roman" w:hAnsi="Times New Roman" w:cs="Times New Roman"/>
              </w:rPr>
            </w:pPr>
            <w:r>
              <w:rPr>
                <w:rFonts w:hint="default" w:ascii="Times New Roman" w:hAnsi="Times New Roman" w:cs="Times New Roman"/>
              </w:rPr>
              <w:t>Lp(r)＝Lw+DC－(Adiv＋Aatm＋Agr＋Abar＋Amisc)式中：Lp(r)——预测点处声压级，dB；</w:t>
            </w:r>
          </w:p>
          <w:p>
            <w:pPr>
              <w:ind w:firstLine="480"/>
              <w:rPr>
                <w:rFonts w:hint="default" w:ascii="Times New Roman" w:hAnsi="Times New Roman" w:cs="Times New Roman"/>
              </w:rPr>
            </w:pPr>
            <w:r>
              <w:rPr>
                <w:rFonts w:hint="default" w:ascii="Times New Roman" w:hAnsi="Times New Roman" w:cs="Times New Roman"/>
              </w:rPr>
              <w:t>Lw——由点声源产生的声功率级(A计权或倍频带)，dB；</w:t>
            </w:r>
          </w:p>
          <w:p>
            <w:pPr>
              <w:ind w:firstLine="480"/>
              <w:rPr>
                <w:rFonts w:hint="default" w:ascii="Times New Roman" w:hAnsi="Times New Roman" w:cs="Times New Roman"/>
              </w:rPr>
            </w:pPr>
            <w:r>
              <w:rPr>
                <w:rFonts w:hint="default" w:ascii="Times New Roman" w:hAnsi="Times New Roman" w:cs="Times New Roman"/>
              </w:rPr>
              <w:t>DC——指向性校正，它描述点声源的等效连续声压级与产生声功率级</w:t>
            </w:r>
          </w:p>
          <w:p>
            <w:pPr>
              <w:ind w:firstLine="480"/>
              <w:rPr>
                <w:rFonts w:hint="default" w:ascii="Times New Roman" w:hAnsi="Times New Roman" w:cs="Times New Roman"/>
              </w:rPr>
            </w:pPr>
            <w:r>
              <w:rPr>
                <w:rFonts w:hint="default" w:ascii="Times New Roman" w:hAnsi="Times New Roman" w:cs="Times New Roman"/>
              </w:rPr>
              <w:t>Lw的全向点声源在规定方向的声级的偏差程度，dB；</w:t>
            </w:r>
          </w:p>
          <w:p>
            <w:pPr>
              <w:ind w:firstLine="480"/>
              <w:rPr>
                <w:rFonts w:hint="default" w:ascii="Times New Roman" w:hAnsi="Times New Roman" w:cs="Times New Roman"/>
              </w:rPr>
            </w:pPr>
            <w:r>
              <w:rPr>
                <w:rFonts w:hint="default" w:ascii="Times New Roman" w:hAnsi="Times New Roman" w:cs="Times New Roman"/>
              </w:rPr>
              <w:t>Adiv——几何发散引起的衰减，dB；</w:t>
            </w:r>
          </w:p>
          <w:p>
            <w:pPr>
              <w:ind w:firstLine="480"/>
              <w:rPr>
                <w:rFonts w:hint="default" w:ascii="Times New Roman" w:hAnsi="Times New Roman" w:cs="Times New Roman"/>
              </w:rPr>
            </w:pPr>
            <w:r>
              <w:rPr>
                <w:rFonts w:hint="default" w:ascii="Times New Roman" w:hAnsi="Times New Roman" w:cs="Times New Roman"/>
              </w:rPr>
              <w:t>Aatm——大气吸收引起的衰减，dB；</w:t>
            </w:r>
          </w:p>
          <w:p>
            <w:pPr>
              <w:ind w:firstLine="480"/>
              <w:rPr>
                <w:rFonts w:hint="default" w:ascii="Times New Roman" w:hAnsi="Times New Roman" w:cs="Times New Roman"/>
              </w:rPr>
            </w:pPr>
            <w:r>
              <w:rPr>
                <w:rFonts w:hint="default" w:ascii="Times New Roman" w:hAnsi="Times New Roman" w:cs="Times New Roman"/>
              </w:rPr>
              <w:t>Agr——地面效应引起的衰减，dB；</w:t>
            </w:r>
          </w:p>
          <w:p>
            <w:pPr>
              <w:ind w:firstLine="480"/>
              <w:rPr>
                <w:rFonts w:hint="default" w:ascii="Times New Roman" w:hAnsi="Times New Roman" w:cs="Times New Roman"/>
              </w:rPr>
            </w:pPr>
            <w:r>
              <w:rPr>
                <w:rFonts w:hint="default" w:ascii="Times New Roman" w:hAnsi="Times New Roman" w:cs="Times New Roman"/>
              </w:rPr>
              <w:t>Abar——障碍物屏蔽引起的衰减，dB；</w:t>
            </w:r>
          </w:p>
          <w:p>
            <w:pPr>
              <w:ind w:firstLine="480"/>
              <w:rPr>
                <w:rFonts w:hint="default" w:ascii="Times New Roman" w:hAnsi="Times New Roman" w:cs="Times New Roman"/>
              </w:rPr>
            </w:pPr>
            <w:r>
              <w:rPr>
                <w:rFonts w:hint="default" w:ascii="Times New Roman" w:hAnsi="Times New Roman" w:cs="Times New Roman"/>
              </w:rPr>
              <w:t>Amisc——其他多方面效应引起的衰减，dB。</w:t>
            </w:r>
          </w:p>
          <w:p>
            <w:pPr>
              <w:ind w:firstLine="480"/>
              <w:rPr>
                <w:rFonts w:hint="default" w:ascii="Times New Roman" w:hAnsi="Times New Roman" w:cs="Times New Roman"/>
              </w:rPr>
            </w:pPr>
            <w:r>
              <w:rPr>
                <w:rFonts w:hint="default" w:ascii="Times New Roman" w:hAnsi="Times New Roman" w:cs="Times New Roman"/>
              </w:rPr>
              <w:t>根据《环境影响评价技术导则声环境》(HJ2.4-2021)，声源位于室内，室内声源可采用等效室外声源声功率级法进行计算。</w:t>
            </w:r>
          </w:p>
          <w:p>
            <w:pPr>
              <w:ind w:firstLine="480"/>
              <w:rPr>
                <w:rFonts w:hint="default" w:ascii="Times New Roman" w:hAnsi="Times New Roman" w:cs="Times New Roman"/>
              </w:rPr>
            </w:pPr>
            <w:r>
              <w:rPr>
                <w:rFonts w:hint="default" w:ascii="Times New Roman" w:hAnsi="Times New Roman" w:cs="Times New Roman"/>
              </w:rPr>
              <w:t>Lp2=Lp1-(TL+6)</w:t>
            </w:r>
          </w:p>
          <w:p>
            <w:pPr>
              <w:ind w:firstLine="480"/>
              <w:rPr>
                <w:rFonts w:hint="default" w:ascii="Times New Roman" w:hAnsi="Times New Roman" w:cs="Times New Roman"/>
              </w:rPr>
            </w:pPr>
            <w:r>
              <w:rPr>
                <w:rFonts w:hint="default" w:ascii="Times New Roman" w:hAnsi="Times New Roman" w:cs="Times New Roman"/>
              </w:rPr>
              <w:t>式中：Lp1——靠近开口处(或窗户)室内某倍频带的声压级或A声级，dB；</w:t>
            </w:r>
          </w:p>
          <w:p>
            <w:pPr>
              <w:ind w:firstLine="480"/>
              <w:rPr>
                <w:rFonts w:hint="default" w:ascii="Times New Roman" w:hAnsi="Times New Roman" w:cs="Times New Roman"/>
              </w:rPr>
            </w:pPr>
            <w:r>
              <w:rPr>
                <w:rFonts w:hint="default" w:ascii="Times New Roman" w:hAnsi="Times New Roman" w:cs="Times New Roman"/>
              </w:rPr>
              <w:t>Lp2——靠近开口处(或窗户)室外某倍频带的声压级或A声级，dB；</w:t>
            </w:r>
          </w:p>
          <w:p>
            <w:pPr>
              <w:ind w:firstLine="480"/>
              <w:rPr>
                <w:rFonts w:hint="default" w:ascii="Times New Roman" w:hAnsi="Times New Roman" w:cs="Times New Roman"/>
              </w:rPr>
            </w:pPr>
            <w:r>
              <w:rPr>
                <w:rFonts w:hint="default" w:ascii="Times New Roman" w:hAnsi="Times New Roman" w:cs="Times New Roman"/>
              </w:rPr>
              <w:t>TL——隔墙(或窗户)倍频带或A声级的隔声量，dB。</w:t>
            </w:r>
          </w:p>
          <w:p>
            <w:pPr>
              <w:ind w:firstLine="480"/>
              <w:rPr>
                <w:rFonts w:hint="default" w:ascii="Times New Roman" w:hAnsi="Times New Roman" w:cs="Times New Roman"/>
              </w:rPr>
            </w:pPr>
            <w:r>
              <w:rPr>
                <w:rFonts w:hint="default" w:ascii="Times New Roman" w:hAnsi="Times New Roman" w:cs="Times New Roman"/>
              </w:rPr>
              <w:t>设第i个室外声源在预测点产生的A声级为LAi，在T时间内该声源工作时间为ti；第j个等效室外声源在预测点产生的A声级为LAj，在T时间内该声源工作时间为tj，则拟建工程声源对预测点产生的贡献值(Leqg)为：</w:t>
            </w:r>
          </w:p>
          <w:p>
            <w:pPr>
              <w:ind w:firstLine="480"/>
              <w:rPr>
                <w:rFonts w:hint="default" w:ascii="Times New Roman" w:hAnsi="Times New Roman" w:cs="Times New Roman"/>
              </w:rPr>
            </w:pPr>
            <w:r>
              <w:rPr>
                <w:rFonts w:hint="default" w:ascii="Times New Roman" w:hAnsi="Times New Roman" w:cs="Times New Roman"/>
                <w:lang w:eastAsia="en-US"/>
              </w:rPr>
              <w:t>Leqg=10lg(ti100.1LAi+tj100.1LAj)</w:t>
            </w:r>
          </w:p>
          <w:p>
            <w:pPr>
              <w:ind w:firstLine="480"/>
              <w:rPr>
                <w:rFonts w:hint="default" w:ascii="Times New Roman" w:hAnsi="Times New Roman" w:cs="Times New Roman"/>
              </w:rPr>
            </w:pPr>
            <w:r>
              <w:rPr>
                <w:rFonts w:hint="default" w:ascii="Times New Roman" w:hAnsi="Times New Roman" w:cs="Times New Roman"/>
              </w:rPr>
              <w:t>式中：Leqg——建设项目声源在预测点产生的噪声贡献值，dB；</w:t>
            </w:r>
          </w:p>
          <w:p>
            <w:pPr>
              <w:ind w:firstLine="480"/>
              <w:rPr>
                <w:rFonts w:hint="default" w:ascii="Times New Roman" w:hAnsi="Times New Roman" w:cs="Times New Roman"/>
              </w:rPr>
            </w:pPr>
            <w:r>
              <w:rPr>
                <w:rFonts w:hint="default" w:ascii="Times New Roman" w:hAnsi="Times New Roman" w:cs="Times New Roman"/>
              </w:rPr>
              <w:t>T——用于计算等效声级的时间，s；</w:t>
            </w:r>
          </w:p>
          <w:p>
            <w:pPr>
              <w:ind w:firstLine="480"/>
              <w:rPr>
                <w:rFonts w:hint="default" w:ascii="Times New Roman" w:hAnsi="Times New Roman" w:cs="Times New Roman"/>
              </w:rPr>
            </w:pPr>
            <w:r>
              <w:rPr>
                <w:rFonts w:hint="default" w:ascii="Times New Roman" w:hAnsi="Times New Roman" w:cs="Times New Roman"/>
              </w:rPr>
              <w:t>N——室外声源个数；</w:t>
            </w:r>
          </w:p>
          <w:p>
            <w:pPr>
              <w:ind w:firstLine="480"/>
              <w:rPr>
                <w:rFonts w:hint="default" w:ascii="Times New Roman" w:hAnsi="Times New Roman" w:cs="Times New Roman"/>
              </w:rPr>
            </w:pPr>
            <w:r>
              <w:rPr>
                <w:rFonts w:hint="default" w:ascii="Times New Roman" w:hAnsi="Times New Roman" w:cs="Times New Roman"/>
              </w:rPr>
              <w:t>ti——在T时间内i声源工作时间，s；</w:t>
            </w:r>
          </w:p>
          <w:p>
            <w:pPr>
              <w:ind w:firstLine="480"/>
              <w:rPr>
                <w:rFonts w:hint="default" w:ascii="Times New Roman" w:hAnsi="Times New Roman" w:cs="Times New Roman"/>
              </w:rPr>
            </w:pPr>
            <w:r>
              <w:rPr>
                <w:rFonts w:hint="default" w:ascii="Times New Roman" w:hAnsi="Times New Roman" w:cs="Times New Roman"/>
              </w:rPr>
              <w:t>M——等效室外声源个数；</w:t>
            </w:r>
          </w:p>
          <w:p>
            <w:pPr>
              <w:ind w:firstLine="480"/>
              <w:rPr>
                <w:rFonts w:hint="default" w:ascii="Times New Roman" w:hAnsi="Times New Roman" w:cs="Times New Roman"/>
              </w:rPr>
            </w:pPr>
            <w:r>
              <w:rPr>
                <w:rFonts w:hint="default" w:ascii="Times New Roman" w:hAnsi="Times New Roman" w:cs="Times New Roman"/>
              </w:rPr>
              <w:t>tj——在T时间内j声源工作时间，s。</w:t>
            </w:r>
          </w:p>
          <w:p>
            <w:pPr>
              <w:bidi w:val="0"/>
              <w:rPr>
                <w:rFonts w:hint="default" w:ascii="Times New Roman" w:hAnsi="Times New Roman" w:cs="Times New Roman"/>
              </w:rPr>
            </w:pPr>
            <w:r>
              <w:rPr>
                <w:rFonts w:hint="default" w:ascii="Times New Roman" w:hAnsi="Times New Roman" w:cs="Times New Roman"/>
              </w:rPr>
              <w:t>本项目噪声衰减除几何发散衰减后的其他衰减（包括空气吸收衰减、屏障物和地面效应引起的衰减、其他附加衰减）取值的因素很多，项目加工设备均位于车间内，本报告主要考虑厂房隔声，厂区围墙墙体隔声和距离衰减影响，厂房隔声及厂区围墙墙体隔声衰减值取15dB(A)。项目昼间等声值线见图4-1</w:t>
            </w:r>
            <w:r>
              <w:rPr>
                <w:rFonts w:hint="default" w:ascii="Times New Roman" w:hAnsi="Times New Roman" w:cs="Times New Roman"/>
                <w:lang w:val="en-US" w:eastAsia="zh-CN"/>
              </w:rPr>
              <w:t>4</w:t>
            </w:r>
            <w:r>
              <w:rPr>
                <w:rFonts w:hint="default" w:ascii="Times New Roman" w:hAnsi="Times New Roman" w:cs="Times New Roman"/>
              </w:rPr>
              <w:t>。</w:t>
            </w:r>
          </w:p>
          <w:p>
            <w:pPr>
              <w:pStyle w:val="36"/>
              <w:bidi w:val="0"/>
              <w:rPr>
                <w:rFonts w:hint="default" w:ascii="Times New Roman" w:hAnsi="Times New Roman" w:cs="Times New Roman"/>
              </w:rPr>
            </w:pPr>
            <w:r>
              <w:rPr>
                <w:rFonts w:hint="default" w:ascii="Times New Roman" w:hAnsi="Times New Roman" w:cs="Times New Roman"/>
                <w:lang w:val="en-US" w:eastAsia="zh-CN"/>
              </w:rPr>
              <w:t>表4-14</w:t>
            </w:r>
            <w:r>
              <w:rPr>
                <w:rFonts w:hint="default" w:ascii="Times New Roman" w:hAnsi="Times New Roman" w:cs="Times New Roman"/>
              </w:rPr>
              <w:t>拟建项目厂界噪声贡献值预测结果一览表单位：dB(A)</w:t>
            </w:r>
          </w:p>
          <w:tbl>
            <w:tblPr>
              <w:tblStyle w:val="9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24"/>
              <w:gridCol w:w="780"/>
              <w:gridCol w:w="654"/>
              <w:gridCol w:w="676"/>
              <w:gridCol w:w="1986"/>
              <w:gridCol w:w="1084"/>
              <w:gridCol w:w="878"/>
              <w:gridCol w:w="15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44" w:type="pct"/>
                  <w:vMerge w:val="restart"/>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rPr>
                    <w:t>预测点</w:t>
                  </w:r>
                </w:p>
              </w:tc>
              <w:tc>
                <w:tcPr>
                  <w:tcW w:w="1242" w:type="pct"/>
                  <w:gridSpan w:val="3"/>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rPr>
                    <w:t>空间相对位置/m</w:t>
                  </w:r>
                </w:p>
              </w:tc>
              <w:tc>
                <w:tcPr>
                  <w:tcW w:w="1169" w:type="pct"/>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rPr>
                    <w:t>贡献值</w:t>
                  </w:r>
                </w:p>
              </w:tc>
              <w:tc>
                <w:tcPr>
                  <w:tcW w:w="638" w:type="pct"/>
                  <w:vMerge w:val="restart"/>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rPr>
                    <w:t>最大噪声值</w:t>
                  </w:r>
                </w:p>
              </w:tc>
              <w:tc>
                <w:tcPr>
                  <w:tcW w:w="517" w:type="pct"/>
                  <w:vMerge w:val="restart"/>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rPr>
                    <w:t>标准值</w:t>
                  </w:r>
                </w:p>
              </w:tc>
              <w:tc>
                <w:tcPr>
                  <w:tcW w:w="888" w:type="pct"/>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44" w:type="pct"/>
                  <w:vMerge w:val="continue"/>
                  <w:tcBorders>
                    <w:tl2br w:val="nil"/>
                    <w:tr2bl w:val="nil"/>
                  </w:tcBorders>
                  <w:vAlign w:val="center"/>
                </w:tcPr>
                <w:p>
                  <w:pPr>
                    <w:pStyle w:val="45"/>
                    <w:bidi w:val="0"/>
                    <w:rPr>
                      <w:rFonts w:hint="default" w:ascii="Times New Roman" w:hAnsi="Times New Roman" w:cs="Times New Roman"/>
                    </w:rPr>
                  </w:pPr>
                </w:p>
              </w:tc>
              <w:tc>
                <w:tcPr>
                  <w:tcW w:w="459" w:type="pct"/>
                  <w:tcBorders>
                    <w:tl2br w:val="nil"/>
                    <w:tr2bl w:val="nil"/>
                  </w:tcBorders>
                  <w:vAlign w:val="center"/>
                </w:tcPr>
                <w:p>
                  <w:pPr>
                    <w:pStyle w:val="45"/>
                    <w:bidi w:val="0"/>
                    <w:rPr>
                      <w:rFonts w:hint="default" w:ascii="Times New Roman" w:hAnsi="Times New Roman" w:cs="Times New Roman"/>
                      <w:lang w:val="en-US"/>
                    </w:rPr>
                  </w:pPr>
                  <w:r>
                    <w:rPr>
                      <w:rFonts w:hint="default" w:ascii="Times New Roman" w:hAnsi="Times New Roman" w:cs="Times New Roman"/>
                      <w:lang w:val="en-US"/>
                    </w:rPr>
                    <w:t>X</w:t>
                  </w:r>
                </w:p>
              </w:tc>
              <w:tc>
                <w:tcPr>
                  <w:tcW w:w="385" w:type="pct"/>
                  <w:tcBorders>
                    <w:tl2br w:val="nil"/>
                    <w:tr2bl w:val="nil"/>
                  </w:tcBorders>
                  <w:vAlign w:val="center"/>
                </w:tcPr>
                <w:p>
                  <w:pPr>
                    <w:pStyle w:val="45"/>
                    <w:bidi w:val="0"/>
                    <w:rPr>
                      <w:rFonts w:hint="default" w:ascii="Times New Roman" w:hAnsi="Times New Roman" w:cs="Times New Roman"/>
                      <w:lang w:val="en-US"/>
                    </w:rPr>
                  </w:pPr>
                  <w:r>
                    <w:rPr>
                      <w:rFonts w:hint="default" w:ascii="Times New Roman" w:hAnsi="Times New Roman" w:cs="Times New Roman"/>
                      <w:lang w:val="en-US"/>
                    </w:rPr>
                    <w:t>Y</w:t>
                  </w:r>
                </w:p>
              </w:tc>
              <w:tc>
                <w:tcPr>
                  <w:tcW w:w="398" w:type="pct"/>
                  <w:tcBorders>
                    <w:tl2br w:val="nil"/>
                    <w:tr2bl w:val="nil"/>
                  </w:tcBorders>
                  <w:vAlign w:val="center"/>
                </w:tcPr>
                <w:p>
                  <w:pPr>
                    <w:pStyle w:val="45"/>
                    <w:bidi w:val="0"/>
                    <w:rPr>
                      <w:rFonts w:hint="default" w:ascii="Times New Roman" w:hAnsi="Times New Roman" w:cs="Times New Roman"/>
                      <w:lang w:val="en-US"/>
                    </w:rPr>
                  </w:pPr>
                  <w:r>
                    <w:rPr>
                      <w:rFonts w:hint="default" w:ascii="Times New Roman" w:hAnsi="Times New Roman" w:cs="Times New Roman"/>
                      <w:lang w:val="en-US"/>
                    </w:rPr>
                    <w:t>Z</w:t>
                  </w:r>
                </w:p>
              </w:tc>
              <w:tc>
                <w:tcPr>
                  <w:tcW w:w="1169" w:type="pct"/>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rPr>
                    <w:t>昼间</w:t>
                  </w:r>
                </w:p>
              </w:tc>
              <w:tc>
                <w:tcPr>
                  <w:tcW w:w="638" w:type="pct"/>
                  <w:vMerge w:val="continue"/>
                  <w:tcBorders>
                    <w:tl2br w:val="nil"/>
                    <w:tr2bl w:val="nil"/>
                  </w:tcBorders>
                  <w:vAlign w:val="center"/>
                </w:tcPr>
                <w:p>
                  <w:pPr>
                    <w:pStyle w:val="45"/>
                    <w:bidi w:val="0"/>
                    <w:rPr>
                      <w:rFonts w:hint="default" w:ascii="Times New Roman" w:hAnsi="Times New Roman" w:cs="Times New Roman"/>
                    </w:rPr>
                  </w:pPr>
                </w:p>
              </w:tc>
              <w:tc>
                <w:tcPr>
                  <w:tcW w:w="517" w:type="pct"/>
                  <w:vMerge w:val="continue"/>
                  <w:tcBorders>
                    <w:tl2br w:val="nil"/>
                    <w:tr2bl w:val="nil"/>
                  </w:tcBorders>
                  <w:vAlign w:val="center"/>
                </w:tcPr>
                <w:p>
                  <w:pPr>
                    <w:pStyle w:val="45"/>
                    <w:bidi w:val="0"/>
                    <w:rPr>
                      <w:rFonts w:hint="default" w:ascii="Times New Roman" w:hAnsi="Times New Roman" w:cs="Times New Roman"/>
                    </w:rPr>
                  </w:pPr>
                </w:p>
              </w:tc>
              <w:tc>
                <w:tcPr>
                  <w:tcW w:w="888" w:type="pct"/>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rPr>
                    <w:t>昼间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44" w:type="pct"/>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lang w:val="en-US"/>
                    </w:rPr>
                    <w:t>西</w:t>
                  </w:r>
                  <w:r>
                    <w:rPr>
                      <w:rFonts w:hint="default" w:ascii="Times New Roman" w:hAnsi="Times New Roman" w:cs="Times New Roman"/>
                    </w:rPr>
                    <w:t>厂界</w:t>
                  </w:r>
                </w:p>
              </w:tc>
              <w:tc>
                <w:tcPr>
                  <w:tcW w:w="459" w:type="pct"/>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rPr>
                    <w:t>-5.76</w:t>
                  </w:r>
                </w:p>
              </w:tc>
              <w:tc>
                <w:tcPr>
                  <w:tcW w:w="385" w:type="pct"/>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rPr>
                    <w:t>40.03</w:t>
                  </w:r>
                </w:p>
              </w:tc>
              <w:tc>
                <w:tcPr>
                  <w:tcW w:w="398" w:type="pct"/>
                  <w:tcBorders>
                    <w:tl2br w:val="nil"/>
                    <w:tr2bl w:val="nil"/>
                  </w:tcBorders>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1.2</w:t>
                  </w:r>
                </w:p>
              </w:tc>
              <w:tc>
                <w:tcPr>
                  <w:tcW w:w="1169" w:type="pct"/>
                  <w:tcBorders>
                    <w:tl2br w:val="nil"/>
                    <w:tr2bl w:val="nil"/>
                  </w:tcBorders>
                  <w:vAlign w:val="center"/>
                </w:tcPr>
                <w:p>
                  <w:pPr>
                    <w:pStyle w:val="4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56.61</w:t>
                  </w:r>
                </w:p>
              </w:tc>
              <w:tc>
                <w:tcPr>
                  <w:tcW w:w="638" w:type="pct"/>
                  <w:tcBorders>
                    <w:tl2br w:val="nil"/>
                    <w:tr2bl w:val="nil"/>
                  </w:tcBorders>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56.61</w:t>
                  </w:r>
                </w:p>
              </w:tc>
              <w:tc>
                <w:tcPr>
                  <w:tcW w:w="517" w:type="pct"/>
                  <w:vMerge w:val="restar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昼间：65</w:t>
                  </w:r>
                </w:p>
                <w:p>
                  <w:pPr>
                    <w:pStyle w:val="45"/>
                    <w:bidi w:val="0"/>
                    <w:jc w:val="center"/>
                    <w:rPr>
                      <w:rFonts w:hint="default" w:ascii="Times New Roman" w:hAnsi="Times New Roman" w:cs="Times New Roman"/>
                    </w:rPr>
                  </w:pPr>
                </w:p>
                <w:p>
                  <w:pPr>
                    <w:pStyle w:val="45"/>
                    <w:bidi w:val="0"/>
                    <w:jc w:val="center"/>
                    <w:rPr>
                      <w:rFonts w:hint="default" w:ascii="Times New Roman" w:hAnsi="Times New Roman" w:cs="Times New Roman"/>
                    </w:rPr>
                  </w:pPr>
                </w:p>
                <w:p>
                  <w:pPr>
                    <w:pStyle w:val="45"/>
                    <w:bidi w:val="0"/>
                    <w:jc w:val="center"/>
                    <w:rPr>
                      <w:rFonts w:hint="default" w:ascii="Times New Roman" w:hAnsi="Times New Roman" w:cs="Times New Roman"/>
                    </w:rPr>
                  </w:pPr>
                </w:p>
              </w:tc>
              <w:tc>
                <w:tcPr>
                  <w:tcW w:w="888" w:type="pct"/>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44" w:type="pct"/>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lang w:val="en-US"/>
                    </w:rPr>
                    <w:t>南</w:t>
                  </w:r>
                  <w:r>
                    <w:rPr>
                      <w:rFonts w:hint="default" w:ascii="Times New Roman" w:hAnsi="Times New Roman" w:cs="Times New Roman"/>
                    </w:rPr>
                    <w:t>厂界</w:t>
                  </w:r>
                </w:p>
              </w:tc>
              <w:tc>
                <w:tcPr>
                  <w:tcW w:w="459" w:type="pct"/>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rPr>
                    <w:t>81.79</w:t>
                  </w:r>
                </w:p>
              </w:tc>
              <w:tc>
                <w:tcPr>
                  <w:tcW w:w="385" w:type="pct"/>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rPr>
                    <w:t>-1.88</w:t>
                  </w:r>
                </w:p>
              </w:tc>
              <w:tc>
                <w:tcPr>
                  <w:tcW w:w="398" w:type="pct"/>
                  <w:tcBorders>
                    <w:tl2br w:val="nil"/>
                    <w:tr2bl w:val="nil"/>
                  </w:tcBorders>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1.2</w:t>
                  </w:r>
                </w:p>
              </w:tc>
              <w:tc>
                <w:tcPr>
                  <w:tcW w:w="1169" w:type="pct"/>
                  <w:tcBorders>
                    <w:tl2br w:val="nil"/>
                    <w:tr2bl w:val="nil"/>
                  </w:tcBorders>
                  <w:vAlign w:val="center"/>
                </w:tcPr>
                <w:p>
                  <w:pPr>
                    <w:pStyle w:val="45"/>
                    <w:bidi w:val="0"/>
                    <w:rPr>
                      <w:rFonts w:hint="default" w:ascii="Times New Roman" w:hAnsi="Times New Roman" w:cs="Times New Roman"/>
                      <w:lang w:val="en-US"/>
                    </w:rPr>
                  </w:pPr>
                  <w:r>
                    <w:rPr>
                      <w:rFonts w:hint="default" w:ascii="Times New Roman" w:hAnsi="Times New Roman" w:cs="Times New Roman"/>
                    </w:rPr>
                    <w:t>62.96</w:t>
                  </w:r>
                </w:p>
              </w:tc>
              <w:tc>
                <w:tcPr>
                  <w:tcW w:w="638" w:type="pct"/>
                  <w:tcBorders>
                    <w:tl2br w:val="nil"/>
                    <w:tr2bl w:val="nil"/>
                  </w:tcBorders>
                  <w:vAlign w:val="center"/>
                </w:tcPr>
                <w:p>
                  <w:pPr>
                    <w:pStyle w:val="45"/>
                    <w:bidi w:val="0"/>
                    <w:rPr>
                      <w:rFonts w:hint="default" w:ascii="Times New Roman" w:hAnsi="Times New Roman" w:cs="Times New Roman"/>
                      <w:lang w:val="en-US"/>
                    </w:rPr>
                  </w:pPr>
                  <w:r>
                    <w:rPr>
                      <w:rFonts w:hint="default" w:ascii="Times New Roman" w:hAnsi="Times New Roman" w:cs="Times New Roman"/>
                    </w:rPr>
                    <w:t>62.96</w:t>
                  </w:r>
                </w:p>
              </w:tc>
              <w:tc>
                <w:tcPr>
                  <w:tcW w:w="517" w:type="pct"/>
                  <w:vMerge w:val="continue"/>
                  <w:tcBorders>
                    <w:tl2br w:val="nil"/>
                    <w:tr2bl w:val="nil"/>
                  </w:tcBorders>
                  <w:vAlign w:val="center"/>
                </w:tcPr>
                <w:p>
                  <w:pPr>
                    <w:pStyle w:val="45"/>
                    <w:bidi w:val="0"/>
                    <w:rPr>
                      <w:rFonts w:hint="default" w:ascii="Times New Roman" w:hAnsi="Times New Roman" w:cs="Times New Roman"/>
                    </w:rPr>
                  </w:pPr>
                </w:p>
              </w:tc>
              <w:tc>
                <w:tcPr>
                  <w:tcW w:w="888" w:type="pct"/>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44" w:type="pct"/>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lang w:val="en-US"/>
                    </w:rPr>
                    <w:t>北</w:t>
                  </w:r>
                  <w:r>
                    <w:rPr>
                      <w:rFonts w:hint="default" w:ascii="Times New Roman" w:hAnsi="Times New Roman" w:cs="Times New Roman"/>
                    </w:rPr>
                    <w:t>厂界</w:t>
                  </w:r>
                </w:p>
              </w:tc>
              <w:tc>
                <w:tcPr>
                  <w:tcW w:w="459" w:type="pct"/>
                  <w:tcBorders>
                    <w:tl2br w:val="nil"/>
                    <w:tr2bl w:val="nil"/>
                  </w:tcBorders>
                  <w:vAlign w:val="center"/>
                </w:tcPr>
                <w:p>
                  <w:pPr>
                    <w:pStyle w:val="4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1.88</w:t>
                  </w:r>
                </w:p>
              </w:tc>
              <w:tc>
                <w:tcPr>
                  <w:tcW w:w="385" w:type="pct"/>
                  <w:tcBorders>
                    <w:tl2br w:val="nil"/>
                    <w:tr2bl w:val="nil"/>
                  </w:tcBorders>
                  <w:vAlign w:val="center"/>
                </w:tcPr>
                <w:p>
                  <w:pPr>
                    <w:pStyle w:val="4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51.48</w:t>
                  </w:r>
                </w:p>
              </w:tc>
              <w:tc>
                <w:tcPr>
                  <w:tcW w:w="398" w:type="pct"/>
                  <w:tcBorders>
                    <w:tl2br w:val="nil"/>
                    <w:tr2bl w:val="nil"/>
                  </w:tcBorders>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1.2</w:t>
                  </w:r>
                </w:p>
              </w:tc>
              <w:tc>
                <w:tcPr>
                  <w:tcW w:w="1169" w:type="pct"/>
                  <w:tcBorders>
                    <w:tl2br w:val="nil"/>
                    <w:tr2bl w:val="nil"/>
                  </w:tcBorders>
                  <w:vAlign w:val="center"/>
                </w:tcPr>
                <w:p>
                  <w:pPr>
                    <w:pStyle w:val="4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54.78</w:t>
                  </w:r>
                </w:p>
              </w:tc>
              <w:tc>
                <w:tcPr>
                  <w:tcW w:w="638" w:type="pct"/>
                  <w:tcBorders>
                    <w:tl2br w:val="nil"/>
                    <w:tr2bl w:val="nil"/>
                  </w:tcBorders>
                  <w:vAlign w:val="center"/>
                </w:tcPr>
                <w:p>
                  <w:pPr>
                    <w:pStyle w:val="4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54.78</w:t>
                  </w:r>
                </w:p>
              </w:tc>
              <w:tc>
                <w:tcPr>
                  <w:tcW w:w="517" w:type="pct"/>
                  <w:vMerge w:val="continue"/>
                  <w:tcBorders>
                    <w:tl2br w:val="nil"/>
                    <w:tr2bl w:val="nil"/>
                  </w:tcBorders>
                  <w:vAlign w:val="center"/>
                </w:tcPr>
                <w:p>
                  <w:pPr>
                    <w:pStyle w:val="45"/>
                    <w:bidi w:val="0"/>
                    <w:rPr>
                      <w:rFonts w:hint="default" w:ascii="Times New Roman" w:hAnsi="Times New Roman" w:cs="Times New Roman"/>
                    </w:rPr>
                  </w:pPr>
                </w:p>
              </w:tc>
              <w:tc>
                <w:tcPr>
                  <w:tcW w:w="888" w:type="pct"/>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44" w:type="pct"/>
                  <w:tcBorders>
                    <w:tl2br w:val="nil"/>
                    <w:tr2bl w:val="nil"/>
                  </w:tcBorders>
                  <w:vAlign w:val="center"/>
                </w:tcPr>
                <w:p>
                  <w:pPr>
                    <w:pStyle w:val="45"/>
                    <w:bidi w:val="0"/>
                    <w:rPr>
                      <w:rFonts w:hint="default" w:ascii="Times New Roman" w:hAnsi="Times New Roman" w:cs="Times New Roman"/>
                      <w:lang w:val="en-US"/>
                    </w:rPr>
                  </w:pPr>
                  <w:r>
                    <w:rPr>
                      <w:rFonts w:hint="default" w:ascii="Times New Roman" w:hAnsi="Times New Roman" w:cs="Times New Roman"/>
                      <w:lang w:val="en-US"/>
                    </w:rPr>
                    <w:t>东</w:t>
                  </w:r>
                  <w:r>
                    <w:rPr>
                      <w:rFonts w:hint="default" w:ascii="Times New Roman" w:hAnsi="Times New Roman" w:cs="Times New Roman"/>
                    </w:rPr>
                    <w:t>厂界</w:t>
                  </w:r>
                </w:p>
              </w:tc>
              <w:tc>
                <w:tcPr>
                  <w:tcW w:w="459" w:type="pct"/>
                  <w:tcBorders>
                    <w:tl2br w:val="nil"/>
                    <w:tr2bl w:val="nil"/>
                  </w:tcBorders>
                  <w:vAlign w:val="center"/>
                </w:tcPr>
                <w:p>
                  <w:pPr>
                    <w:pStyle w:val="45"/>
                    <w:bidi w:val="0"/>
                    <w:ind w:firstLine="0" w:firstLineChars="0"/>
                    <w:rPr>
                      <w:rFonts w:hint="default" w:ascii="Times New Roman" w:hAnsi="Times New Roman" w:cs="Times New Roman"/>
                    </w:rPr>
                  </w:pPr>
                  <w:r>
                    <w:rPr>
                      <w:rFonts w:hint="default" w:ascii="Times New Roman" w:hAnsi="Times New Roman" w:cs="Times New Roman"/>
                    </w:rPr>
                    <w:t>91.10</w:t>
                  </w:r>
                </w:p>
              </w:tc>
              <w:tc>
                <w:tcPr>
                  <w:tcW w:w="385" w:type="pct"/>
                  <w:tcBorders>
                    <w:tl2br w:val="nil"/>
                    <w:tr2bl w:val="nil"/>
                  </w:tcBorders>
                  <w:vAlign w:val="center"/>
                </w:tcPr>
                <w:p>
                  <w:pPr>
                    <w:pStyle w:val="45"/>
                    <w:bidi w:val="0"/>
                    <w:ind w:firstLine="0" w:firstLineChars="0"/>
                    <w:rPr>
                      <w:rFonts w:hint="default" w:ascii="Times New Roman" w:hAnsi="Times New Roman" w:cs="Times New Roman"/>
                    </w:rPr>
                  </w:pPr>
                  <w:r>
                    <w:rPr>
                      <w:rFonts w:hint="default" w:ascii="Times New Roman" w:hAnsi="Times New Roman" w:cs="Times New Roman"/>
                    </w:rPr>
                    <w:t>40.02</w:t>
                  </w:r>
                </w:p>
              </w:tc>
              <w:tc>
                <w:tcPr>
                  <w:tcW w:w="398" w:type="pct"/>
                  <w:tcBorders>
                    <w:tl2br w:val="nil"/>
                    <w:tr2bl w:val="nil"/>
                  </w:tcBorders>
                  <w:vAlign w:val="center"/>
                </w:tcPr>
                <w:p>
                  <w:pPr>
                    <w:pStyle w:val="4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1.2</w:t>
                  </w:r>
                </w:p>
              </w:tc>
              <w:tc>
                <w:tcPr>
                  <w:tcW w:w="1169" w:type="pct"/>
                  <w:tcBorders>
                    <w:tl2br w:val="nil"/>
                    <w:tr2bl w:val="nil"/>
                  </w:tcBorders>
                  <w:vAlign w:val="center"/>
                </w:tcPr>
                <w:p>
                  <w:pPr>
                    <w:pStyle w:val="45"/>
                    <w:bidi w:val="0"/>
                    <w:ind w:firstLine="0" w:firstLineChars="0"/>
                    <w:rPr>
                      <w:rFonts w:hint="default" w:ascii="Times New Roman" w:hAnsi="Times New Roman" w:cs="Times New Roman"/>
                      <w:lang w:val="en-US"/>
                    </w:rPr>
                  </w:pPr>
                  <w:r>
                    <w:rPr>
                      <w:rFonts w:hint="default" w:ascii="Times New Roman" w:hAnsi="Times New Roman" w:cs="Times New Roman"/>
                      <w:lang w:val="en-US" w:eastAsia="zh-CN"/>
                    </w:rPr>
                    <w:t>59.8</w:t>
                  </w:r>
                </w:p>
              </w:tc>
              <w:tc>
                <w:tcPr>
                  <w:tcW w:w="638" w:type="pct"/>
                  <w:tcBorders>
                    <w:tl2br w:val="nil"/>
                    <w:tr2bl w:val="nil"/>
                  </w:tcBorders>
                  <w:vAlign w:val="center"/>
                </w:tcPr>
                <w:p>
                  <w:pPr>
                    <w:pStyle w:val="45"/>
                    <w:bidi w:val="0"/>
                    <w:ind w:firstLine="0" w:firstLineChars="0"/>
                    <w:rPr>
                      <w:rFonts w:hint="default" w:ascii="Times New Roman" w:hAnsi="Times New Roman" w:cs="Times New Roman"/>
                    </w:rPr>
                  </w:pPr>
                  <w:r>
                    <w:rPr>
                      <w:rFonts w:hint="default" w:ascii="Times New Roman" w:hAnsi="Times New Roman" w:cs="Times New Roman"/>
                      <w:lang w:val="en-US" w:eastAsia="zh-CN"/>
                    </w:rPr>
                    <w:t>59.8</w:t>
                  </w:r>
                </w:p>
              </w:tc>
              <w:tc>
                <w:tcPr>
                  <w:tcW w:w="517" w:type="pct"/>
                  <w:vMerge w:val="continue"/>
                  <w:tcBorders>
                    <w:tl2br w:val="nil"/>
                    <w:tr2bl w:val="nil"/>
                  </w:tcBorders>
                  <w:vAlign w:val="center"/>
                </w:tcPr>
                <w:p>
                  <w:pPr>
                    <w:pStyle w:val="45"/>
                    <w:bidi w:val="0"/>
                    <w:rPr>
                      <w:rFonts w:hint="default" w:ascii="Times New Roman" w:hAnsi="Times New Roman" w:cs="Times New Roman"/>
                    </w:rPr>
                  </w:pPr>
                </w:p>
              </w:tc>
              <w:tc>
                <w:tcPr>
                  <w:tcW w:w="888" w:type="pct"/>
                  <w:tcBorders>
                    <w:tl2br w:val="nil"/>
                    <w:tr2bl w:val="nil"/>
                  </w:tcBorders>
                  <w:vAlign w:val="center"/>
                </w:tcPr>
                <w:p>
                  <w:pPr>
                    <w:pStyle w:val="45"/>
                    <w:bidi w:val="0"/>
                    <w:rPr>
                      <w:rFonts w:hint="default" w:ascii="Times New Roman" w:hAnsi="Times New Roman" w:cs="Times New Roman"/>
                    </w:rPr>
                  </w:pPr>
                  <w:r>
                    <w:rPr>
                      <w:rFonts w:hint="default" w:ascii="Times New Roman" w:hAnsi="Times New Roman" w:cs="Times New Roman"/>
                    </w:rPr>
                    <w:t>达标</w:t>
                  </w:r>
                </w:p>
              </w:tc>
            </w:tr>
          </w:tbl>
          <w:p>
            <w:pPr>
              <w:pStyle w:val="42"/>
              <w:ind w:firstLine="482"/>
              <w:rPr>
                <w:rFonts w:hint="default" w:ascii="Times New Roman" w:hAnsi="Times New Roman" w:cs="Times New Roman"/>
                <w:snapToGrid/>
              </w:rPr>
            </w:pPr>
            <w:r>
              <w:rPr>
                <w:rFonts w:hint="default" w:ascii="Times New Roman" w:hAnsi="Times New Roman" w:cs="Times New Roman"/>
              </w:rPr>
              <w:t>根据预测结果，项目投产运行年厂界噪声贡献值等声值线图绘制如下：</w:t>
            </w:r>
          </w:p>
          <w:p>
            <w:pPr>
              <w:pStyle w:val="10"/>
              <w:ind w:left="0" w:leftChars="0"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162550" cy="3749040"/>
                  <wp:effectExtent l="0" t="0" r="0" b="381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22"/>
                          <a:stretch>
                            <a:fillRect/>
                          </a:stretch>
                        </pic:blipFill>
                        <pic:spPr>
                          <a:xfrm>
                            <a:off x="0" y="0"/>
                            <a:ext cx="5162550" cy="3749040"/>
                          </a:xfrm>
                          <a:prstGeom prst="rect">
                            <a:avLst/>
                          </a:prstGeom>
                          <a:noFill/>
                          <a:ln>
                            <a:noFill/>
                          </a:ln>
                        </pic:spPr>
                      </pic:pic>
                    </a:graphicData>
                  </a:graphic>
                </wp:inline>
              </w:drawing>
            </w:r>
          </w:p>
          <w:p>
            <w:pPr>
              <w:pStyle w:val="36"/>
              <w:numPr>
                <w:ilvl w:val="0"/>
                <w:numId w:val="0"/>
              </w:numPr>
              <w:bidi w:val="0"/>
              <w:ind w:leftChars="0"/>
              <w:jc w:val="center"/>
              <w:rPr>
                <w:rFonts w:hint="default" w:ascii="Times New Roman" w:hAnsi="Times New Roman" w:cs="Times New Roman"/>
              </w:rPr>
            </w:pPr>
            <w:r>
              <w:rPr>
                <w:rFonts w:hint="default" w:ascii="Times New Roman" w:hAnsi="Times New Roman" w:cs="Times New Roman"/>
                <w:lang w:val="en-US" w:eastAsia="zh-CN"/>
              </w:rPr>
              <w:t>图4-1</w:t>
            </w:r>
            <w:r>
              <w:rPr>
                <w:rFonts w:hint="default" w:ascii="Times New Roman" w:hAnsi="Times New Roman" w:cs="Times New Roman"/>
              </w:rPr>
              <w:t>拟建项目噪声贡献值等声级线图</w:t>
            </w:r>
          </w:p>
          <w:p>
            <w:pPr>
              <w:pStyle w:val="120"/>
              <w:adjustRightInd w:val="0"/>
              <w:snapToGrid w:val="0"/>
              <w:ind w:firstLine="0" w:firstLineChars="0"/>
              <w:jc w:val="center"/>
              <w:rPr>
                <w:rFonts w:hint="default" w:ascii="Times New Roman" w:hAnsi="Times New Roman" w:cs="Times New Roman"/>
                <w:b/>
                <w:color w:val="auto"/>
              </w:rPr>
            </w:pPr>
            <w:r>
              <w:rPr>
                <w:rFonts w:hint="default" w:ascii="Times New Roman" w:hAnsi="Times New Roman" w:cs="Times New Roman"/>
              </w:rPr>
              <w:drawing>
                <wp:inline distT="0" distB="0" distL="114300" distR="114300">
                  <wp:extent cx="4848225" cy="1323975"/>
                  <wp:effectExtent l="0" t="0" r="9525" b="952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23"/>
                          <a:stretch>
                            <a:fillRect/>
                          </a:stretch>
                        </pic:blipFill>
                        <pic:spPr>
                          <a:xfrm>
                            <a:off x="0" y="0"/>
                            <a:ext cx="4848225" cy="1323975"/>
                          </a:xfrm>
                          <a:prstGeom prst="rect">
                            <a:avLst/>
                          </a:prstGeom>
                          <a:noFill/>
                          <a:ln>
                            <a:noFill/>
                          </a:ln>
                        </pic:spPr>
                      </pic:pic>
                    </a:graphicData>
                  </a:graphic>
                </wp:inline>
              </w:drawing>
            </w:r>
          </w:p>
          <w:p>
            <w:pPr>
              <w:pStyle w:val="120"/>
              <w:adjustRightInd w:val="0"/>
              <w:snapToGrid w:val="0"/>
              <w:ind w:firstLine="0" w:firstLineChars="0"/>
              <w:jc w:val="center"/>
              <w:rPr>
                <w:rFonts w:hint="default" w:ascii="Times New Roman" w:hAnsi="Times New Roman" w:cs="Times New Roman"/>
                <w:b/>
                <w:color w:val="auto"/>
                <w:lang w:val="en-US"/>
              </w:rPr>
            </w:pPr>
            <w:r>
              <w:rPr>
                <w:rFonts w:hint="default" w:ascii="Times New Roman" w:hAnsi="Times New Roman" w:cs="Times New Roman"/>
                <w:b/>
                <w:color w:val="auto"/>
                <w:lang w:val="en-US"/>
              </w:rPr>
              <w:t>图</w:t>
            </w:r>
            <w:r>
              <w:rPr>
                <w:rFonts w:hint="default" w:ascii="Times New Roman" w:hAnsi="Times New Roman" w:cs="Times New Roman"/>
                <w:b/>
                <w:color w:val="auto"/>
                <w:lang w:val="en-US" w:eastAsia="zh-CN"/>
              </w:rPr>
              <w:t>4-2</w:t>
            </w:r>
            <w:r>
              <w:rPr>
                <w:rFonts w:hint="default" w:ascii="Times New Roman" w:hAnsi="Times New Roman" w:cs="Times New Roman"/>
                <w:b/>
                <w:color w:val="auto"/>
                <w:lang w:val="en-US"/>
              </w:rPr>
              <w:t>东厂界噪声</w:t>
            </w:r>
            <w:r>
              <w:rPr>
                <w:rFonts w:hint="default" w:ascii="Times New Roman" w:hAnsi="Times New Roman" w:cs="Times New Roman"/>
                <w:b/>
                <w:color w:val="auto"/>
                <w:lang w:val="en-US" w:eastAsia="zh-CN"/>
              </w:rPr>
              <w:t>线接受点</w:t>
            </w:r>
            <w:r>
              <w:rPr>
                <w:rFonts w:hint="default" w:ascii="Times New Roman" w:hAnsi="Times New Roman" w:cs="Times New Roman"/>
                <w:b/>
                <w:color w:val="auto"/>
                <w:lang w:val="en-US"/>
              </w:rPr>
              <w:t>预测结果图</w:t>
            </w:r>
          </w:p>
          <w:p>
            <w:pPr>
              <w:pStyle w:val="120"/>
              <w:adjustRightInd w:val="0"/>
              <w:snapToGrid w:val="0"/>
              <w:ind w:firstLine="0" w:firstLineChars="0"/>
              <w:jc w:val="center"/>
              <w:rPr>
                <w:rFonts w:hint="default" w:ascii="Times New Roman" w:hAnsi="Times New Roman" w:cs="Times New Roman"/>
                <w:b/>
                <w:color w:val="auto"/>
                <w:lang w:val="en-US"/>
              </w:rPr>
            </w:pPr>
            <w:r>
              <w:rPr>
                <w:rFonts w:hint="default" w:ascii="Times New Roman" w:hAnsi="Times New Roman" w:cs="Times New Roman"/>
              </w:rPr>
              <w:drawing>
                <wp:inline distT="0" distB="0" distL="114300" distR="114300">
                  <wp:extent cx="4800600" cy="1133475"/>
                  <wp:effectExtent l="0" t="0" r="0" b="952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4"/>
                          <a:stretch>
                            <a:fillRect/>
                          </a:stretch>
                        </pic:blipFill>
                        <pic:spPr>
                          <a:xfrm>
                            <a:off x="0" y="0"/>
                            <a:ext cx="4800600" cy="1133475"/>
                          </a:xfrm>
                          <a:prstGeom prst="rect">
                            <a:avLst/>
                          </a:prstGeom>
                          <a:noFill/>
                          <a:ln>
                            <a:noFill/>
                          </a:ln>
                        </pic:spPr>
                      </pic:pic>
                    </a:graphicData>
                  </a:graphic>
                </wp:inline>
              </w:drawing>
            </w:r>
          </w:p>
          <w:p>
            <w:pPr>
              <w:pStyle w:val="120"/>
              <w:adjustRightInd w:val="0"/>
              <w:snapToGrid w:val="0"/>
              <w:ind w:firstLine="0" w:firstLineChars="0"/>
              <w:jc w:val="center"/>
              <w:rPr>
                <w:rFonts w:hint="default" w:ascii="Times New Roman" w:hAnsi="Times New Roman" w:cs="Times New Roman"/>
                <w:b/>
                <w:color w:val="auto"/>
                <w:lang w:val="en-US"/>
              </w:rPr>
            </w:pPr>
            <w:r>
              <w:rPr>
                <w:rFonts w:hint="default" w:ascii="Times New Roman" w:hAnsi="Times New Roman" w:cs="Times New Roman"/>
                <w:b/>
                <w:color w:val="auto"/>
                <w:lang w:val="en-US"/>
              </w:rPr>
              <w:t>图</w:t>
            </w:r>
            <w:r>
              <w:rPr>
                <w:rFonts w:hint="default" w:ascii="Times New Roman" w:hAnsi="Times New Roman" w:cs="Times New Roman"/>
                <w:b/>
                <w:color w:val="auto"/>
                <w:lang w:val="en-US" w:eastAsia="zh-CN"/>
              </w:rPr>
              <w:t>4-3</w:t>
            </w:r>
            <w:r>
              <w:rPr>
                <w:rFonts w:hint="default" w:ascii="Times New Roman" w:hAnsi="Times New Roman" w:cs="Times New Roman"/>
                <w:b/>
                <w:color w:val="auto"/>
                <w:lang w:val="en-US"/>
              </w:rPr>
              <w:t>西厂界噪声</w:t>
            </w:r>
            <w:r>
              <w:rPr>
                <w:rFonts w:hint="default" w:ascii="Times New Roman" w:hAnsi="Times New Roman" w:cs="Times New Roman"/>
                <w:b/>
                <w:color w:val="auto"/>
                <w:lang w:val="en-US" w:eastAsia="zh-CN"/>
              </w:rPr>
              <w:t>线接受点</w:t>
            </w:r>
            <w:r>
              <w:rPr>
                <w:rFonts w:hint="default" w:ascii="Times New Roman" w:hAnsi="Times New Roman" w:cs="Times New Roman"/>
                <w:b/>
                <w:color w:val="auto"/>
                <w:lang w:val="en-US"/>
              </w:rPr>
              <w:t>预测结果图</w:t>
            </w:r>
          </w:p>
          <w:p>
            <w:pPr>
              <w:pStyle w:val="120"/>
              <w:adjustRightInd w:val="0"/>
              <w:snapToGrid w:val="0"/>
              <w:ind w:firstLine="0" w:firstLineChars="0"/>
              <w:jc w:val="center"/>
              <w:rPr>
                <w:rFonts w:hint="default" w:ascii="Times New Roman" w:hAnsi="Times New Roman" w:cs="Times New Roman"/>
                <w:b/>
                <w:color w:val="auto"/>
                <w:lang w:val="en-US"/>
              </w:rPr>
            </w:pPr>
            <w:r>
              <w:rPr>
                <w:rFonts w:hint="default" w:ascii="Times New Roman" w:hAnsi="Times New Roman" w:cs="Times New Roman"/>
              </w:rPr>
              <w:drawing>
                <wp:inline distT="0" distB="0" distL="114300" distR="114300">
                  <wp:extent cx="4981575" cy="1276350"/>
                  <wp:effectExtent l="0" t="0" r="9525"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25"/>
                          <a:stretch>
                            <a:fillRect/>
                          </a:stretch>
                        </pic:blipFill>
                        <pic:spPr>
                          <a:xfrm>
                            <a:off x="0" y="0"/>
                            <a:ext cx="4981575" cy="1276350"/>
                          </a:xfrm>
                          <a:prstGeom prst="rect">
                            <a:avLst/>
                          </a:prstGeom>
                          <a:noFill/>
                          <a:ln>
                            <a:noFill/>
                          </a:ln>
                        </pic:spPr>
                      </pic:pic>
                    </a:graphicData>
                  </a:graphic>
                </wp:inline>
              </w:drawing>
            </w:r>
          </w:p>
          <w:p>
            <w:pPr>
              <w:pStyle w:val="120"/>
              <w:adjustRightInd w:val="0"/>
              <w:snapToGrid w:val="0"/>
              <w:ind w:firstLine="0" w:firstLineChars="0"/>
              <w:jc w:val="center"/>
              <w:rPr>
                <w:rFonts w:hint="default" w:ascii="Times New Roman" w:hAnsi="Times New Roman" w:cs="Times New Roman"/>
                <w:b/>
                <w:color w:val="auto"/>
                <w:lang w:val="en-US"/>
              </w:rPr>
            </w:pPr>
            <w:r>
              <w:rPr>
                <w:rFonts w:hint="default" w:ascii="Times New Roman" w:hAnsi="Times New Roman" w:cs="Times New Roman"/>
                <w:b/>
                <w:color w:val="auto"/>
                <w:lang w:val="en-US"/>
              </w:rPr>
              <w:t>图</w:t>
            </w:r>
            <w:r>
              <w:rPr>
                <w:rFonts w:hint="default" w:ascii="Times New Roman" w:hAnsi="Times New Roman" w:cs="Times New Roman"/>
                <w:b/>
                <w:color w:val="auto"/>
                <w:lang w:val="en-US" w:eastAsia="zh-CN"/>
              </w:rPr>
              <w:t>4-4</w:t>
            </w:r>
            <w:r>
              <w:rPr>
                <w:rFonts w:hint="default" w:ascii="Times New Roman" w:hAnsi="Times New Roman" w:cs="Times New Roman"/>
                <w:b/>
                <w:color w:val="auto"/>
                <w:lang w:val="en-US"/>
              </w:rPr>
              <w:t>南厂界噪声</w:t>
            </w:r>
            <w:r>
              <w:rPr>
                <w:rFonts w:hint="default" w:ascii="Times New Roman" w:hAnsi="Times New Roman" w:cs="Times New Roman"/>
                <w:b/>
                <w:color w:val="auto"/>
                <w:lang w:val="en-US" w:eastAsia="zh-CN"/>
              </w:rPr>
              <w:t>线接受点</w:t>
            </w:r>
            <w:r>
              <w:rPr>
                <w:rFonts w:hint="default" w:ascii="Times New Roman" w:hAnsi="Times New Roman" w:cs="Times New Roman"/>
                <w:b/>
                <w:color w:val="auto"/>
                <w:lang w:val="en-US"/>
              </w:rPr>
              <w:t>预测结果图</w:t>
            </w:r>
          </w:p>
          <w:p>
            <w:pPr>
              <w:pStyle w:val="120"/>
              <w:adjustRightInd w:val="0"/>
              <w:snapToGrid w:val="0"/>
              <w:ind w:firstLine="0" w:firstLineChars="0"/>
              <w:jc w:val="center"/>
              <w:rPr>
                <w:rFonts w:hint="default" w:ascii="Times New Roman" w:hAnsi="Times New Roman" w:cs="Times New Roman"/>
                <w:b/>
                <w:color w:val="auto"/>
                <w:lang w:val="en-US"/>
              </w:rPr>
            </w:pPr>
            <w:r>
              <w:rPr>
                <w:rFonts w:hint="default" w:ascii="Times New Roman" w:hAnsi="Times New Roman" w:cs="Times New Roman"/>
              </w:rPr>
              <w:drawing>
                <wp:inline distT="0" distB="0" distL="114300" distR="114300">
                  <wp:extent cx="4886325" cy="1247775"/>
                  <wp:effectExtent l="0" t="0" r="9525" b="952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26"/>
                          <a:stretch>
                            <a:fillRect/>
                          </a:stretch>
                        </pic:blipFill>
                        <pic:spPr>
                          <a:xfrm>
                            <a:off x="0" y="0"/>
                            <a:ext cx="4886325" cy="1247775"/>
                          </a:xfrm>
                          <a:prstGeom prst="rect">
                            <a:avLst/>
                          </a:prstGeom>
                          <a:noFill/>
                          <a:ln>
                            <a:noFill/>
                          </a:ln>
                        </pic:spPr>
                      </pic:pic>
                    </a:graphicData>
                  </a:graphic>
                </wp:inline>
              </w:drawing>
            </w:r>
          </w:p>
          <w:p>
            <w:pPr>
              <w:pStyle w:val="120"/>
              <w:adjustRightInd w:val="0"/>
              <w:snapToGrid w:val="0"/>
              <w:ind w:firstLine="0" w:firstLineChars="0"/>
              <w:jc w:val="center"/>
              <w:rPr>
                <w:rFonts w:hint="default" w:ascii="Times New Roman" w:hAnsi="Times New Roman" w:cs="Times New Roman"/>
                <w:b/>
                <w:color w:val="auto"/>
                <w:lang w:val="en-US"/>
              </w:rPr>
            </w:pPr>
            <w:r>
              <w:rPr>
                <w:rFonts w:hint="default" w:ascii="Times New Roman" w:hAnsi="Times New Roman" w:cs="Times New Roman"/>
                <w:b/>
                <w:color w:val="auto"/>
                <w:lang w:val="en-US"/>
              </w:rPr>
              <w:t>图</w:t>
            </w:r>
            <w:r>
              <w:rPr>
                <w:rFonts w:hint="default" w:ascii="Times New Roman" w:hAnsi="Times New Roman" w:cs="Times New Roman"/>
                <w:b/>
                <w:color w:val="auto"/>
                <w:lang w:val="en-US" w:eastAsia="zh-CN"/>
              </w:rPr>
              <w:t>4-5</w:t>
            </w:r>
            <w:r>
              <w:rPr>
                <w:rFonts w:hint="default" w:ascii="Times New Roman" w:hAnsi="Times New Roman" w:cs="Times New Roman"/>
                <w:b/>
                <w:color w:val="auto"/>
                <w:lang w:val="en-US"/>
              </w:rPr>
              <w:t>北厂界噪声</w:t>
            </w:r>
            <w:r>
              <w:rPr>
                <w:rFonts w:hint="default" w:ascii="Times New Roman" w:hAnsi="Times New Roman" w:cs="Times New Roman"/>
                <w:b/>
                <w:color w:val="auto"/>
                <w:lang w:val="en-US" w:eastAsia="zh-CN"/>
              </w:rPr>
              <w:t>线接受点</w:t>
            </w:r>
            <w:r>
              <w:rPr>
                <w:rFonts w:hint="default" w:ascii="Times New Roman" w:hAnsi="Times New Roman" w:cs="Times New Roman"/>
                <w:b/>
                <w:color w:val="auto"/>
                <w:lang w:val="en-US"/>
              </w:rPr>
              <w:t>预测结果图</w:t>
            </w:r>
          </w:p>
          <w:p>
            <w:pPr>
              <w:ind w:firstLine="480"/>
              <w:rPr>
                <w:rFonts w:hint="default" w:ascii="Times New Roman" w:hAnsi="Times New Roman" w:cs="Times New Roman"/>
                <w:color w:val="auto"/>
              </w:rPr>
            </w:pPr>
            <w:r>
              <w:rPr>
                <w:rFonts w:hint="default" w:ascii="Times New Roman" w:hAnsi="Times New Roman" w:cs="Times New Roman"/>
                <w:color w:val="auto"/>
              </w:rPr>
              <w:t>根据噪声预测结果可以看出，考虑隔声降噪等控制措施对声源的削减作用，在主要声源同时排放噪声影响情况下，项目区</w:t>
            </w:r>
            <w:r>
              <w:rPr>
                <w:rFonts w:hint="default" w:ascii="Times New Roman" w:hAnsi="Times New Roman" w:cs="Times New Roman"/>
                <w:color w:val="auto"/>
                <w:lang w:val="en-US" w:eastAsia="zh-CN"/>
              </w:rPr>
              <w:t>东、西</w:t>
            </w:r>
            <w:r>
              <w:rPr>
                <w:rFonts w:hint="default" w:ascii="Times New Roman" w:hAnsi="Times New Roman" w:cs="Times New Roman"/>
                <w:color w:val="auto"/>
              </w:rPr>
              <w:t>、</w:t>
            </w:r>
            <w:r>
              <w:rPr>
                <w:rFonts w:hint="default" w:ascii="Times New Roman" w:hAnsi="Times New Roman" w:cs="Times New Roman"/>
                <w:color w:val="auto"/>
                <w:lang w:val="en-US"/>
              </w:rPr>
              <w:t>南</w:t>
            </w:r>
            <w:r>
              <w:rPr>
                <w:rFonts w:hint="default" w:ascii="Times New Roman" w:hAnsi="Times New Roman" w:cs="Times New Roman"/>
                <w:color w:val="auto"/>
              </w:rPr>
              <w:t>、北厂界噪声预测均符合《工业企业厂界噪声排放标准》（GB12348-2008）中的3类标准要求</w:t>
            </w:r>
            <w:r>
              <w:rPr>
                <w:rFonts w:hint="default" w:ascii="Times New Roman" w:hAnsi="Times New Roman" w:cs="Times New Roman"/>
                <w:color w:val="auto"/>
                <w:lang w:eastAsia="zh-CN"/>
              </w:rPr>
              <w:t>。</w:t>
            </w:r>
          </w:p>
          <w:p>
            <w:pPr>
              <w:ind w:firstLine="480"/>
              <w:rPr>
                <w:rFonts w:hint="default" w:ascii="Times New Roman" w:hAnsi="Times New Roman" w:cs="Times New Roman"/>
              </w:rPr>
            </w:pPr>
            <w:r>
              <w:rPr>
                <w:rFonts w:hint="default" w:ascii="Times New Roman" w:hAnsi="Times New Roman" w:cs="Times New Roman"/>
              </w:rPr>
              <w:t>4）敏感点达标分析</w:t>
            </w:r>
          </w:p>
          <w:p>
            <w:pPr>
              <w:pStyle w:val="36"/>
              <w:bidi w:val="0"/>
              <w:rPr>
                <w:rFonts w:hint="default" w:ascii="Times New Roman" w:hAnsi="Times New Roman" w:cs="Times New Roman"/>
              </w:rPr>
            </w:pPr>
            <w:r>
              <w:rPr>
                <w:rFonts w:hint="default" w:ascii="Times New Roman" w:hAnsi="Times New Roman" w:cs="Times New Roman"/>
                <w:lang w:val="en-US" w:eastAsia="zh-CN"/>
              </w:rPr>
              <w:t>表</w:t>
            </w:r>
            <w:r>
              <w:rPr>
                <w:rFonts w:hint="default" w:ascii="Times New Roman" w:hAnsi="Times New Roman" w:cs="Times New Roman"/>
              </w:rPr>
              <w:t>4-</w:t>
            </w:r>
            <w:r>
              <w:rPr>
                <w:rFonts w:hint="default" w:ascii="Times New Roman" w:hAnsi="Times New Roman" w:cs="Times New Roman"/>
                <w:lang w:val="en-US" w:eastAsia="zh-CN"/>
              </w:rPr>
              <w:t>15</w:t>
            </w:r>
            <w:r>
              <w:rPr>
                <w:rFonts w:hint="default" w:ascii="Times New Roman" w:hAnsi="Times New Roman" w:cs="Times New Roman"/>
              </w:rPr>
              <w:t>关心点影响预测结果（dB(A)）</w:t>
            </w:r>
          </w:p>
          <w:p>
            <w:pPr>
              <w:spacing w:line="17" w:lineRule="auto"/>
              <w:rPr>
                <w:rFonts w:hint="default" w:ascii="Times New Roman" w:hAnsi="Times New Roman" w:cs="Times New Roman"/>
                <w:sz w:val="2"/>
              </w:rPr>
            </w:pPr>
          </w:p>
          <w:tbl>
            <w:tblPr>
              <w:tblStyle w:val="98"/>
              <w:tblW w:w="499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87"/>
              <w:gridCol w:w="619"/>
              <w:gridCol w:w="698"/>
              <w:gridCol w:w="811"/>
              <w:gridCol w:w="763"/>
              <w:gridCol w:w="843"/>
              <w:gridCol w:w="715"/>
              <w:gridCol w:w="858"/>
              <w:gridCol w:w="21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81" w:type="pct"/>
                  <w:vAlign w:val="center"/>
                </w:tcPr>
                <w:p>
                  <w:pPr>
                    <w:pStyle w:val="45"/>
                    <w:bidi w:val="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项目位置</w:t>
                  </w:r>
                </w:p>
              </w:tc>
              <w:tc>
                <w:tcPr>
                  <w:tcW w:w="364"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时段</w:t>
                  </w:r>
                </w:p>
              </w:tc>
              <w:tc>
                <w:tcPr>
                  <w:tcW w:w="41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敏感</w:t>
                  </w:r>
                </w:p>
                <w:p>
                  <w:pPr>
                    <w:pStyle w:val="45"/>
                    <w:bidi w:val="0"/>
                    <w:jc w:val="center"/>
                    <w:rPr>
                      <w:rFonts w:hint="default" w:ascii="Times New Roman" w:hAnsi="Times New Roman" w:cs="Times New Roman"/>
                    </w:rPr>
                  </w:pPr>
                  <w:r>
                    <w:rPr>
                      <w:rFonts w:hint="default" w:ascii="Times New Roman" w:hAnsi="Times New Roman" w:cs="Times New Roman"/>
                    </w:rPr>
                    <w:t>点</w:t>
                  </w:r>
                </w:p>
              </w:tc>
              <w:tc>
                <w:tcPr>
                  <w:tcW w:w="47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距离</w:t>
                  </w:r>
                </w:p>
              </w:tc>
              <w:tc>
                <w:tcPr>
                  <w:tcW w:w="449"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背景</w:t>
                  </w:r>
                </w:p>
                <w:p>
                  <w:pPr>
                    <w:pStyle w:val="45"/>
                    <w:bidi w:val="0"/>
                    <w:jc w:val="center"/>
                    <w:rPr>
                      <w:rFonts w:hint="default" w:ascii="Times New Roman" w:hAnsi="Times New Roman" w:cs="Times New Roman"/>
                    </w:rPr>
                  </w:pPr>
                  <w:r>
                    <w:rPr>
                      <w:rFonts w:hint="default" w:ascii="Times New Roman" w:hAnsi="Times New Roman" w:cs="Times New Roman"/>
                    </w:rPr>
                    <w:t>值</w:t>
                  </w:r>
                </w:p>
              </w:tc>
              <w:tc>
                <w:tcPr>
                  <w:tcW w:w="496"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贡献值</w:t>
                  </w:r>
                </w:p>
              </w:tc>
              <w:tc>
                <w:tcPr>
                  <w:tcW w:w="42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预测</w:t>
                  </w:r>
                </w:p>
                <w:p>
                  <w:pPr>
                    <w:pStyle w:val="45"/>
                    <w:bidi w:val="0"/>
                    <w:jc w:val="center"/>
                    <w:rPr>
                      <w:rFonts w:hint="default" w:ascii="Times New Roman" w:hAnsi="Times New Roman" w:cs="Times New Roman"/>
                    </w:rPr>
                  </w:pPr>
                  <w:r>
                    <w:rPr>
                      <w:rFonts w:hint="default" w:ascii="Times New Roman" w:hAnsi="Times New Roman" w:cs="Times New Roman"/>
                    </w:rPr>
                    <w:t>值</w:t>
                  </w:r>
                </w:p>
              </w:tc>
              <w:tc>
                <w:tcPr>
                  <w:tcW w:w="505"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达标情况</w:t>
                  </w:r>
                </w:p>
              </w:tc>
              <w:tc>
                <w:tcPr>
                  <w:tcW w:w="1290"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标准值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8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厂界西</w:t>
                  </w:r>
                </w:p>
              </w:tc>
              <w:tc>
                <w:tcPr>
                  <w:tcW w:w="364"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昼间</w:t>
                  </w:r>
                </w:p>
              </w:tc>
              <w:tc>
                <w:tcPr>
                  <w:tcW w:w="41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提古</w:t>
                  </w:r>
                </w:p>
                <w:p>
                  <w:pPr>
                    <w:pStyle w:val="45"/>
                    <w:bidi w:val="0"/>
                    <w:jc w:val="center"/>
                    <w:rPr>
                      <w:rFonts w:hint="default" w:ascii="Times New Roman" w:hAnsi="Times New Roman" w:cs="Times New Roman"/>
                    </w:rPr>
                  </w:pPr>
                  <w:r>
                    <w:rPr>
                      <w:rFonts w:hint="default" w:ascii="Times New Roman" w:hAnsi="Times New Roman" w:cs="Times New Roman"/>
                    </w:rPr>
                    <w:t>村</w:t>
                  </w:r>
                </w:p>
              </w:tc>
              <w:tc>
                <w:tcPr>
                  <w:tcW w:w="47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西侧</w:t>
                  </w:r>
                </w:p>
                <w:p>
                  <w:pPr>
                    <w:pStyle w:val="45"/>
                    <w:bidi w:val="0"/>
                    <w:jc w:val="center"/>
                    <w:rPr>
                      <w:rFonts w:hint="default" w:ascii="Times New Roman" w:hAnsi="Times New Roman" w:cs="Times New Roman"/>
                    </w:rPr>
                  </w:pPr>
                  <w:r>
                    <w:rPr>
                      <w:rFonts w:hint="default" w:ascii="Times New Roman" w:hAnsi="Times New Roman" w:cs="Times New Roman"/>
                    </w:rPr>
                    <w:t>30m</w:t>
                  </w:r>
                </w:p>
              </w:tc>
              <w:tc>
                <w:tcPr>
                  <w:tcW w:w="449"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55.8</w:t>
                  </w:r>
                </w:p>
              </w:tc>
              <w:tc>
                <w:tcPr>
                  <w:tcW w:w="496" w:type="pct"/>
                  <w:vAlign w:val="center"/>
                </w:tcPr>
                <w:p>
                  <w:pPr>
                    <w:pStyle w:val="45"/>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35.6</w:t>
                  </w:r>
                </w:p>
              </w:tc>
              <w:tc>
                <w:tcPr>
                  <w:tcW w:w="421" w:type="pct"/>
                  <w:vAlign w:val="center"/>
                </w:tcPr>
                <w:p>
                  <w:pPr>
                    <w:pStyle w:val="45"/>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55.84</w:t>
                  </w:r>
                </w:p>
              </w:tc>
              <w:tc>
                <w:tcPr>
                  <w:tcW w:w="505"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达标</w:t>
                  </w:r>
                </w:p>
              </w:tc>
              <w:tc>
                <w:tcPr>
                  <w:tcW w:w="1290" w:type="pct"/>
                  <w:tcBorders>
                    <w:bottom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GB3096-2008《声环境质量标准》2类昼间标准，昼间≤60dB（A）</w:t>
                  </w:r>
                </w:p>
              </w:tc>
            </w:tr>
          </w:tbl>
          <w:p>
            <w:pPr>
              <w:bidi w:val="0"/>
              <w:rPr>
                <w:rFonts w:hint="default" w:ascii="Times New Roman" w:hAnsi="Times New Roman" w:cs="Times New Roman"/>
              </w:rPr>
            </w:pPr>
            <w:r>
              <w:rPr>
                <w:rFonts w:hint="default" w:ascii="Times New Roman" w:hAnsi="Times New Roman" w:cs="Times New Roman"/>
              </w:rPr>
              <w:t>从表4-</w:t>
            </w:r>
            <w:r>
              <w:rPr>
                <w:rFonts w:hint="default" w:ascii="Times New Roman" w:hAnsi="Times New Roman" w:cs="Times New Roman"/>
                <w:lang w:val="en-US" w:eastAsia="zh-CN"/>
              </w:rPr>
              <w:t>15</w:t>
            </w:r>
            <w:r>
              <w:rPr>
                <w:rFonts w:hint="default" w:ascii="Times New Roman" w:hAnsi="Times New Roman" w:cs="Times New Roman"/>
              </w:rPr>
              <w:t>可以看出，项目西侧、北侧30米处提古村满足GB3096-2008《声环境质量标准》2类昼间标准，即：昼间≤60dB(A)。</w:t>
            </w:r>
          </w:p>
          <w:p>
            <w:pPr>
              <w:bidi w:val="0"/>
              <w:rPr>
                <w:rFonts w:hint="default" w:ascii="Times New Roman" w:hAnsi="Times New Roman" w:cs="Times New Roman"/>
              </w:rPr>
            </w:pPr>
            <w:r>
              <w:rPr>
                <w:rFonts w:hint="default" w:ascii="Times New Roman" w:hAnsi="Times New Roman" w:cs="Times New Roman"/>
              </w:rPr>
              <w:t>综上，本项目通过采取产噪设备置于室内，高噪声设备安装减震垫，加强对生产设备的管理和维护措施后用地范围内的噪声污染源在项目建成后噪声可做到达标排放，不会对该区域声环境质量造成大的影响。</w:t>
            </w:r>
          </w:p>
          <w:p>
            <w:pPr>
              <w:ind w:firstLine="480"/>
              <w:rPr>
                <w:rFonts w:hint="default" w:ascii="Times New Roman" w:hAnsi="Times New Roman" w:cs="Times New Roman"/>
              </w:rPr>
            </w:pPr>
            <w:r>
              <w:rPr>
                <w:rFonts w:hint="default" w:ascii="Times New Roman" w:hAnsi="Times New Roman" w:cs="Times New Roman"/>
                <w:b/>
                <w:bCs/>
              </w:rPr>
              <w:t>（3）措施</w:t>
            </w:r>
          </w:p>
          <w:p>
            <w:pPr>
              <w:adjustRightInd w:val="0"/>
              <w:ind w:firstLine="480"/>
              <w:rPr>
                <w:rFonts w:hint="default" w:ascii="Times New Roman" w:hAnsi="Times New Roman" w:cs="Times New Roman"/>
              </w:rPr>
            </w:pPr>
            <w:r>
              <w:rPr>
                <w:rFonts w:hint="default" w:ascii="Times New Roman" w:hAnsi="Times New Roman" w:cs="Times New Roman"/>
              </w:rPr>
              <w:t>本项目不涉及发电机，机械设备运转产生的噪声经减振、墙体隔声、距离衰减后，经预测本项目厂区设备噪声在西、南、东、北厂界均可达到GB12348-2008《工业企业厂界环境噪声排放标准》3类标准，项目运营期产生的噪声对周围环境保护目标影响较小。</w:t>
            </w:r>
          </w:p>
          <w:p>
            <w:pPr>
              <w:adjustRightInd w:val="0"/>
              <w:ind w:firstLine="480"/>
              <w:rPr>
                <w:rFonts w:hint="default" w:ascii="Times New Roman" w:hAnsi="Times New Roman" w:cs="Times New Roman"/>
              </w:rPr>
            </w:pPr>
            <w:r>
              <w:rPr>
                <w:rFonts w:hint="default" w:ascii="Times New Roman" w:hAnsi="Times New Roman" w:cs="Times New Roman"/>
              </w:rPr>
              <w:t>为了减小噪声对区域声环境的不利影响，本环评要求采取如下噪声防治措施：</w:t>
            </w:r>
          </w:p>
          <w:p>
            <w:pPr>
              <w:ind w:firstLine="480"/>
              <w:rPr>
                <w:rFonts w:hint="default" w:ascii="Times New Roman" w:hAnsi="Times New Roman" w:cs="Times New Roman"/>
              </w:rPr>
            </w:pPr>
            <w:r>
              <w:rPr>
                <w:rFonts w:hint="default" w:ascii="Times New Roman" w:hAnsi="Times New Roman" w:cs="Times New Roman"/>
              </w:rPr>
              <w:t>①优化厂区布局，将产生噪声较高的钉箱机、打包机、裱纸机组布置于场地中部，在北侧应考虑增加项目围挡，并在厂界四周尽量种植高大乔木，以起到隔声降噪的作用；</w:t>
            </w:r>
          </w:p>
          <w:p>
            <w:pPr>
              <w:ind w:firstLine="480"/>
              <w:rPr>
                <w:rFonts w:hint="default" w:ascii="Times New Roman" w:hAnsi="Times New Roman" w:cs="Times New Roman"/>
              </w:rPr>
            </w:pPr>
            <w:r>
              <w:rPr>
                <w:rFonts w:hint="default" w:ascii="Times New Roman" w:hAnsi="Times New Roman" w:cs="Times New Roman"/>
              </w:rPr>
              <w:t>②对于空气动力性噪声的机械设备，出风口加装消声器，并将高噪声布置在生产车间内，并安装减震垫；</w:t>
            </w:r>
          </w:p>
          <w:p>
            <w:pPr>
              <w:ind w:firstLine="480"/>
              <w:rPr>
                <w:rFonts w:hint="default" w:ascii="Times New Roman" w:hAnsi="Times New Roman" w:cs="Times New Roman"/>
              </w:rPr>
            </w:pPr>
            <w:r>
              <w:rPr>
                <w:rFonts w:hint="default" w:ascii="Times New Roman" w:hAnsi="Times New Roman" w:cs="Times New Roman"/>
              </w:rPr>
              <w:t>③强化行车管理制度，厂区内严禁鸣号，进入厂区低速行驶，最大限度减少流动噪声源；</w:t>
            </w:r>
          </w:p>
          <w:p>
            <w:pPr>
              <w:ind w:firstLine="480"/>
              <w:rPr>
                <w:rFonts w:hint="default" w:ascii="Times New Roman" w:hAnsi="Times New Roman" w:cs="Times New Roman"/>
              </w:rPr>
            </w:pPr>
            <w:r>
              <w:rPr>
                <w:rFonts w:hint="default" w:ascii="Times New Roman" w:hAnsi="Times New Roman" w:cs="Times New Roman"/>
              </w:rPr>
              <w:t>④建立设备定期维护、保养的管理制度，避免设备运转非正常噪声。</w:t>
            </w:r>
          </w:p>
          <w:p>
            <w:pPr>
              <w:ind w:firstLine="480"/>
              <w:rPr>
                <w:rFonts w:hint="default" w:ascii="Times New Roman" w:hAnsi="Times New Roman" w:cs="Times New Roman"/>
              </w:rPr>
            </w:pPr>
            <w:r>
              <w:rPr>
                <w:rFonts w:hint="default" w:ascii="Times New Roman" w:hAnsi="Times New Roman" w:cs="Times New Roman"/>
              </w:rPr>
              <w:t>在严格采取上述对策防治措施后，项目厂界噪声可达GB12348-2008《工业企业厂界环境噪声排放标准》3类标准，噪声对区域声环境影响不大。</w:t>
            </w:r>
          </w:p>
          <w:p>
            <w:pPr>
              <w:ind w:firstLine="480"/>
              <w:rPr>
                <w:rFonts w:hint="default" w:ascii="Times New Roman" w:hAnsi="Times New Roman" w:cs="Times New Roman"/>
                <w:b/>
                <w:bCs/>
              </w:rPr>
            </w:pPr>
            <w:r>
              <w:rPr>
                <w:rFonts w:hint="default" w:ascii="Times New Roman" w:hAnsi="Times New Roman" w:cs="Times New Roman"/>
                <w:b/>
                <w:bCs/>
              </w:rPr>
              <w:t>3、噪声监测计划</w:t>
            </w:r>
          </w:p>
          <w:p>
            <w:pPr>
              <w:ind w:firstLine="480"/>
              <w:rPr>
                <w:rFonts w:hint="default" w:ascii="Times New Roman" w:hAnsi="Times New Roman" w:cs="Times New Roman"/>
              </w:rPr>
            </w:pPr>
            <w:r>
              <w:rPr>
                <w:rFonts w:hint="default" w:ascii="Times New Roman" w:hAnsi="Times New Roman" w:cs="Times New Roman"/>
                <w:lang w:eastAsia="zh-CN"/>
              </w:rPr>
              <w:t>由于</w:t>
            </w:r>
            <w:r>
              <w:rPr>
                <w:rFonts w:hint="eastAsia" w:cs="Times New Roman"/>
                <w:lang w:val="en-US" w:eastAsia="zh-CN"/>
              </w:rPr>
              <w:t>玻璃制品制造业无行业排污许可证核发技术指南</w:t>
            </w:r>
            <w:r>
              <w:rPr>
                <w:rFonts w:hint="default" w:ascii="Times New Roman" w:hAnsi="Times New Roman" w:cs="Times New Roman"/>
                <w:lang w:eastAsia="zh-CN"/>
              </w:rPr>
              <w:t>，故本项目</w:t>
            </w:r>
            <w:r>
              <w:rPr>
                <w:rFonts w:hint="default" w:ascii="Times New Roman" w:hAnsi="Times New Roman" w:cs="Times New Roman"/>
              </w:rPr>
              <w:t>根据《排污单位自行监测技术指南总则》（HJ819-2017）制定本次监测计划，详见表4-1</w:t>
            </w:r>
            <w:r>
              <w:rPr>
                <w:rFonts w:hint="default" w:ascii="Times New Roman" w:hAnsi="Times New Roman" w:cs="Times New Roman"/>
                <w:lang w:val="en-US" w:eastAsia="zh-CN"/>
              </w:rPr>
              <w:t>6</w:t>
            </w:r>
            <w:r>
              <w:rPr>
                <w:rFonts w:hint="default" w:ascii="Times New Roman" w:hAnsi="Times New Roman" w:cs="Times New Roman"/>
              </w:rPr>
              <w:t>。</w:t>
            </w:r>
          </w:p>
          <w:p>
            <w:pPr>
              <w:pStyle w:val="36"/>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4-16</w:t>
            </w:r>
            <w:r>
              <w:rPr>
                <w:rFonts w:hint="default" w:ascii="Times New Roman" w:hAnsi="Times New Roman" w:cs="Times New Roman"/>
              </w:rPr>
              <w:t>噪声监测计划表</w:t>
            </w:r>
          </w:p>
          <w:tbl>
            <w:tblPr>
              <w:tblStyle w:val="28"/>
              <w:tblW w:w="8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1209"/>
              <w:gridCol w:w="1956"/>
              <w:gridCol w:w="1097"/>
              <w:gridCol w:w="1711"/>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75" w:type="dxa"/>
                  <w:noWrap w:val="0"/>
                  <w:vAlign w:val="center"/>
                </w:tcPr>
                <w:p>
                  <w:pPr>
                    <w:pStyle w:val="45"/>
                    <w:bidi w:val="0"/>
                    <w:rPr>
                      <w:rFonts w:hint="default" w:ascii="Times New Roman" w:hAnsi="Times New Roman" w:cs="Times New Roman"/>
                    </w:rPr>
                  </w:pPr>
                  <w:r>
                    <w:rPr>
                      <w:rFonts w:hint="default" w:ascii="Times New Roman" w:hAnsi="Times New Roman" w:cs="Times New Roman"/>
                    </w:rPr>
                    <w:t>监测点位</w:t>
                  </w:r>
                </w:p>
              </w:tc>
              <w:tc>
                <w:tcPr>
                  <w:tcW w:w="1332" w:type="dxa"/>
                  <w:noWrap w:val="0"/>
                  <w:vAlign w:val="center"/>
                </w:tcPr>
                <w:p>
                  <w:pPr>
                    <w:pStyle w:val="45"/>
                    <w:bidi w:val="0"/>
                    <w:rPr>
                      <w:rFonts w:hint="default" w:ascii="Times New Roman" w:hAnsi="Times New Roman" w:cs="Times New Roman"/>
                    </w:rPr>
                  </w:pPr>
                  <w:r>
                    <w:rPr>
                      <w:rFonts w:hint="default" w:ascii="Times New Roman" w:hAnsi="Times New Roman" w:cs="Times New Roman"/>
                    </w:rPr>
                    <w:t>污染物名称</w:t>
                  </w:r>
                </w:p>
              </w:tc>
              <w:tc>
                <w:tcPr>
                  <w:tcW w:w="1653" w:type="dxa"/>
                  <w:noWrap w:val="0"/>
                  <w:vAlign w:val="center"/>
                </w:tcPr>
                <w:p>
                  <w:pPr>
                    <w:pStyle w:val="45"/>
                    <w:bidi w:val="0"/>
                    <w:rPr>
                      <w:rFonts w:hint="default" w:ascii="Times New Roman" w:hAnsi="Times New Roman" w:cs="Times New Roman"/>
                    </w:rPr>
                  </w:pPr>
                  <w:r>
                    <w:rPr>
                      <w:rFonts w:hint="default" w:ascii="Times New Roman" w:hAnsi="Times New Roman" w:cs="Times New Roman"/>
                    </w:rPr>
                    <w:t>执行标准</w:t>
                  </w:r>
                </w:p>
              </w:tc>
              <w:tc>
                <w:tcPr>
                  <w:tcW w:w="1125" w:type="dxa"/>
                  <w:noWrap w:val="0"/>
                  <w:vAlign w:val="center"/>
                </w:tcPr>
                <w:p>
                  <w:pPr>
                    <w:pStyle w:val="45"/>
                    <w:bidi w:val="0"/>
                    <w:rPr>
                      <w:rFonts w:hint="default" w:ascii="Times New Roman" w:hAnsi="Times New Roman" w:cs="Times New Roman"/>
                    </w:rPr>
                  </w:pPr>
                  <w:r>
                    <w:rPr>
                      <w:rFonts w:hint="default" w:ascii="Times New Roman" w:hAnsi="Times New Roman" w:cs="Times New Roman"/>
                    </w:rPr>
                    <w:t>标准限值</w:t>
                  </w:r>
                </w:p>
              </w:tc>
              <w:tc>
                <w:tcPr>
                  <w:tcW w:w="1498" w:type="dxa"/>
                  <w:noWrap w:val="0"/>
                  <w:vAlign w:val="center"/>
                </w:tcPr>
                <w:p>
                  <w:pPr>
                    <w:pStyle w:val="45"/>
                    <w:bidi w:val="0"/>
                    <w:rPr>
                      <w:rFonts w:hint="default" w:ascii="Times New Roman" w:hAnsi="Times New Roman" w:cs="Times New Roman"/>
                    </w:rPr>
                  </w:pPr>
                  <w:r>
                    <w:rPr>
                      <w:rFonts w:hint="default" w:ascii="Times New Roman" w:hAnsi="Times New Roman" w:cs="Times New Roman"/>
                    </w:rPr>
                    <w:t>监测方法</w:t>
                  </w:r>
                </w:p>
              </w:tc>
              <w:tc>
                <w:tcPr>
                  <w:tcW w:w="1386" w:type="dxa"/>
                  <w:noWrap w:val="0"/>
                  <w:vAlign w:val="center"/>
                </w:tcPr>
                <w:p>
                  <w:pPr>
                    <w:pStyle w:val="45"/>
                    <w:bidi w:val="0"/>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075" w:type="dxa"/>
                  <w:noWrap w:val="0"/>
                  <w:vAlign w:val="center"/>
                </w:tcPr>
                <w:p>
                  <w:pPr>
                    <w:pStyle w:val="45"/>
                    <w:bidi w:val="0"/>
                    <w:rPr>
                      <w:rFonts w:hint="default" w:ascii="Times New Roman" w:hAnsi="Times New Roman" w:cs="Times New Roman"/>
                    </w:rPr>
                  </w:pPr>
                  <w:r>
                    <w:rPr>
                      <w:rFonts w:hint="default" w:ascii="Times New Roman" w:hAnsi="Times New Roman" w:cs="Times New Roman"/>
                    </w:rPr>
                    <w:t>1#东</w:t>
                  </w:r>
                </w:p>
              </w:tc>
              <w:tc>
                <w:tcPr>
                  <w:tcW w:w="1332" w:type="dxa"/>
                  <w:vMerge w:val="restart"/>
                  <w:noWrap w:val="0"/>
                  <w:vAlign w:val="center"/>
                </w:tcPr>
                <w:p>
                  <w:pPr>
                    <w:pStyle w:val="45"/>
                    <w:bidi w:val="0"/>
                    <w:rPr>
                      <w:rFonts w:hint="default" w:ascii="Times New Roman" w:hAnsi="Times New Roman" w:cs="Times New Roman"/>
                    </w:rPr>
                  </w:pPr>
                  <w:r>
                    <w:rPr>
                      <w:rFonts w:hint="default" w:ascii="Times New Roman" w:hAnsi="Times New Roman" w:cs="Times New Roman"/>
                    </w:rPr>
                    <w:t>Leq（A）</w:t>
                  </w:r>
                </w:p>
              </w:tc>
              <w:tc>
                <w:tcPr>
                  <w:tcW w:w="1653" w:type="dxa"/>
                  <w:vMerge w:val="restart"/>
                  <w:noWrap w:val="0"/>
                  <w:vAlign w:val="center"/>
                </w:tcPr>
                <w:p>
                  <w:pPr>
                    <w:pStyle w:val="45"/>
                    <w:bidi w:val="0"/>
                    <w:rPr>
                      <w:rFonts w:hint="default" w:ascii="Times New Roman" w:hAnsi="Times New Roman" w:cs="Times New Roman"/>
                    </w:rPr>
                  </w:pPr>
                  <w:r>
                    <w:rPr>
                      <w:rFonts w:hint="default" w:ascii="Times New Roman" w:hAnsi="Times New Roman" w:cs="Times New Roman"/>
                    </w:rPr>
                    <w:t>（GB12348-2008）《工业企业厂界环境噪声排放标准》中3类区标准</w:t>
                  </w:r>
                </w:p>
              </w:tc>
              <w:tc>
                <w:tcPr>
                  <w:tcW w:w="1125" w:type="dxa"/>
                  <w:vMerge w:val="restart"/>
                  <w:noWrap w:val="0"/>
                  <w:vAlign w:val="center"/>
                </w:tcPr>
                <w:p>
                  <w:pPr>
                    <w:pStyle w:val="45"/>
                    <w:bidi w:val="0"/>
                    <w:rPr>
                      <w:rFonts w:hint="default" w:ascii="Times New Roman" w:hAnsi="Times New Roman" w:cs="Times New Roman"/>
                    </w:rPr>
                  </w:pPr>
                  <w:r>
                    <w:rPr>
                      <w:rFonts w:hint="default" w:ascii="Times New Roman" w:hAnsi="Times New Roman" w:cs="Times New Roman"/>
                    </w:rPr>
                    <w:t>昼间：65dB（A）；夜间：55dB（A）</w:t>
                  </w:r>
                </w:p>
              </w:tc>
              <w:tc>
                <w:tcPr>
                  <w:tcW w:w="1498" w:type="dxa"/>
                  <w:vMerge w:val="restart"/>
                  <w:noWrap w:val="0"/>
                  <w:vAlign w:val="center"/>
                </w:tcPr>
                <w:p>
                  <w:pPr>
                    <w:pStyle w:val="45"/>
                    <w:bidi w:val="0"/>
                    <w:rPr>
                      <w:rFonts w:hint="default" w:ascii="Times New Roman" w:hAnsi="Times New Roman" w:cs="Times New Roman"/>
                    </w:rPr>
                  </w:pPr>
                  <w:r>
                    <w:rPr>
                      <w:rFonts w:hint="default" w:ascii="Times New Roman" w:hAnsi="Times New Roman" w:cs="Times New Roman"/>
                    </w:rPr>
                    <w:t>《环境噪声监测技术规范城市声环境常规监测》（HJ640-2012）</w:t>
                  </w:r>
                </w:p>
              </w:tc>
              <w:tc>
                <w:tcPr>
                  <w:tcW w:w="1386" w:type="dxa"/>
                  <w:noWrap w:val="0"/>
                  <w:vAlign w:val="center"/>
                </w:tcPr>
                <w:p>
                  <w:pPr>
                    <w:pStyle w:val="45"/>
                    <w:bidi w:val="0"/>
                    <w:rPr>
                      <w:rFonts w:hint="default" w:ascii="Times New Roman" w:hAnsi="Times New Roman" w:cs="Times New Roman"/>
                    </w:rPr>
                  </w:pPr>
                  <w:r>
                    <w:rPr>
                      <w:rFonts w:hint="default" w:ascii="Times New Roman" w:hAnsi="Times New Roman" w:cs="Times New Roman"/>
                    </w:rPr>
                    <w:t>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noWrap w:val="0"/>
                  <w:vAlign w:val="center"/>
                </w:tcPr>
                <w:p>
                  <w:pPr>
                    <w:pStyle w:val="45"/>
                    <w:bidi w:val="0"/>
                    <w:rPr>
                      <w:rFonts w:hint="default" w:ascii="Times New Roman" w:hAnsi="Times New Roman" w:cs="Times New Roman"/>
                    </w:rPr>
                  </w:pPr>
                  <w:r>
                    <w:rPr>
                      <w:rFonts w:hint="default" w:ascii="Times New Roman" w:hAnsi="Times New Roman" w:cs="Times New Roman"/>
                    </w:rPr>
                    <w:t>2#南</w:t>
                  </w:r>
                </w:p>
              </w:tc>
              <w:tc>
                <w:tcPr>
                  <w:tcW w:w="1332" w:type="dxa"/>
                  <w:vMerge w:val="continue"/>
                  <w:noWrap w:val="0"/>
                  <w:vAlign w:val="center"/>
                </w:tcPr>
                <w:p>
                  <w:pPr>
                    <w:pStyle w:val="45"/>
                    <w:bidi w:val="0"/>
                    <w:rPr>
                      <w:rFonts w:hint="default" w:ascii="Times New Roman" w:hAnsi="Times New Roman" w:cs="Times New Roman"/>
                    </w:rPr>
                  </w:pPr>
                </w:p>
              </w:tc>
              <w:tc>
                <w:tcPr>
                  <w:tcW w:w="1653" w:type="dxa"/>
                  <w:vMerge w:val="continue"/>
                  <w:noWrap w:val="0"/>
                  <w:vAlign w:val="center"/>
                </w:tcPr>
                <w:p>
                  <w:pPr>
                    <w:pStyle w:val="45"/>
                    <w:bidi w:val="0"/>
                    <w:rPr>
                      <w:rFonts w:hint="default" w:ascii="Times New Roman" w:hAnsi="Times New Roman" w:cs="Times New Roman"/>
                    </w:rPr>
                  </w:pPr>
                </w:p>
              </w:tc>
              <w:tc>
                <w:tcPr>
                  <w:tcW w:w="1125" w:type="dxa"/>
                  <w:vMerge w:val="continue"/>
                  <w:noWrap w:val="0"/>
                  <w:vAlign w:val="center"/>
                </w:tcPr>
                <w:p>
                  <w:pPr>
                    <w:pStyle w:val="45"/>
                    <w:bidi w:val="0"/>
                    <w:rPr>
                      <w:rFonts w:hint="default" w:ascii="Times New Roman" w:hAnsi="Times New Roman" w:cs="Times New Roman"/>
                    </w:rPr>
                  </w:pPr>
                </w:p>
              </w:tc>
              <w:tc>
                <w:tcPr>
                  <w:tcW w:w="1498" w:type="dxa"/>
                  <w:vMerge w:val="continue"/>
                  <w:noWrap w:val="0"/>
                  <w:vAlign w:val="center"/>
                </w:tcPr>
                <w:p>
                  <w:pPr>
                    <w:pStyle w:val="45"/>
                    <w:bidi w:val="0"/>
                    <w:rPr>
                      <w:rFonts w:hint="default" w:ascii="Times New Roman" w:hAnsi="Times New Roman" w:cs="Times New Roman"/>
                    </w:rPr>
                  </w:pPr>
                </w:p>
              </w:tc>
              <w:tc>
                <w:tcPr>
                  <w:tcW w:w="1386" w:type="dxa"/>
                  <w:noWrap w:val="0"/>
                  <w:vAlign w:val="center"/>
                </w:tcPr>
                <w:p>
                  <w:pPr>
                    <w:pStyle w:val="45"/>
                    <w:bidi w:val="0"/>
                    <w:rPr>
                      <w:rFonts w:hint="default" w:ascii="Times New Roman" w:hAnsi="Times New Roman" w:cs="Times New Roman"/>
                    </w:rPr>
                  </w:pPr>
                  <w:r>
                    <w:rPr>
                      <w:rFonts w:hint="default" w:ascii="Times New Roman" w:hAnsi="Times New Roman" w:cs="Times New Roman"/>
                    </w:rPr>
                    <w:t>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noWrap w:val="0"/>
                  <w:vAlign w:val="center"/>
                </w:tcPr>
                <w:p>
                  <w:pPr>
                    <w:pStyle w:val="45"/>
                    <w:bidi w:val="0"/>
                    <w:rPr>
                      <w:rFonts w:hint="default" w:ascii="Times New Roman" w:hAnsi="Times New Roman" w:cs="Times New Roman"/>
                    </w:rPr>
                  </w:pPr>
                  <w:r>
                    <w:rPr>
                      <w:rFonts w:hint="default" w:ascii="Times New Roman" w:hAnsi="Times New Roman" w:cs="Times New Roman"/>
                    </w:rPr>
                    <w:t>3#西</w:t>
                  </w:r>
                </w:p>
              </w:tc>
              <w:tc>
                <w:tcPr>
                  <w:tcW w:w="1332" w:type="dxa"/>
                  <w:vMerge w:val="continue"/>
                  <w:noWrap w:val="0"/>
                  <w:vAlign w:val="center"/>
                </w:tcPr>
                <w:p>
                  <w:pPr>
                    <w:pStyle w:val="45"/>
                    <w:bidi w:val="0"/>
                    <w:rPr>
                      <w:rFonts w:hint="default" w:ascii="Times New Roman" w:hAnsi="Times New Roman" w:cs="Times New Roman"/>
                    </w:rPr>
                  </w:pPr>
                </w:p>
              </w:tc>
              <w:tc>
                <w:tcPr>
                  <w:tcW w:w="1653" w:type="dxa"/>
                  <w:vMerge w:val="continue"/>
                  <w:noWrap w:val="0"/>
                  <w:vAlign w:val="center"/>
                </w:tcPr>
                <w:p>
                  <w:pPr>
                    <w:pStyle w:val="45"/>
                    <w:bidi w:val="0"/>
                    <w:rPr>
                      <w:rFonts w:hint="default" w:ascii="Times New Roman" w:hAnsi="Times New Roman" w:cs="Times New Roman"/>
                    </w:rPr>
                  </w:pPr>
                </w:p>
              </w:tc>
              <w:tc>
                <w:tcPr>
                  <w:tcW w:w="1125" w:type="dxa"/>
                  <w:vMerge w:val="continue"/>
                  <w:noWrap w:val="0"/>
                  <w:vAlign w:val="center"/>
                </w:tcPr>
                <w:p>
                  <w:pPr>
                    <w:pStyle w:val="45"/>
                    <w:bidi w:val="0"/>
                    <w:rPr>
                      <w:rFonts w:hint="default" w:ascii="Times New Roman" w:hAnsi="Times New Roman" w:cs="Times New Roman"/>
                    </w:rPr>
                  </w:pPr>
                </w:p>
              </w:tc>
              <w:tc>
                <w:tcPr>
                  <w:tcW w:w="1498" w:type="dxa"/>
                  <w:vMerge w:val="continue"/>
                  <w:noWrap w:val="0"/>
                  <w:vAlign w:val="center"/>
                </w:tcPr>
                <w:p>
                  <w:pPr>
                    <w:pStyle w:val="45"/>
                    <w:bidi w:val="0"/>
                    <w:rPr>
                      <w:rFonts w:hint="default" w:ascii="Times New Roman" w:hAnsi="Times New Roman" w:cs="Times New Roman"/>
                    </w:rPr>
                  </w:pPr>
                </w:p>
              </w:tc>
              <w:tc>
                <w:tcPr>
                  <w:tcW w:w="1386" w:type="dxa"/>
                  <w:noWrap w:val="0"/>
                  <w:vAlign w:val="center"/>
                </w:tcPr>
                <w:p>
                  <w:pPr>
                    <w:pStyle w:val="45"/>
                    <w:bidi w:val="0"/>
                    <w:rPr>
                      <w:rFonts w:hint="default" w:ascii="Times New Roman" w:hAnsi="Times New Roman" w:cs="Times New Roman"/>
                    </w:rPr>
                  </w:pPr>
                  <w:r>
                    <w:rPr>
                      <w:rFonts w:hint="default" w:ascii="Times New Roman" w:hAnsi="Times New Roman" w:cs="Times New Roman"/>
                    </w:rPr>
                    <w:t>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noWrap w:val="0"/>
                  <w:vAlign w:val="center"/>
                </w:tcPr>
                <w:p>
                  <w:pPr>
                    <w:pStyle w:val="45"/>
                    <w:bidi w:val="0"/>
                    <w:rPr>
                      <w:rFonts w:hint="default" w:ascii="Times New Roman" w:hAnsi="Times New Roman" w:cs="Times New Roman"/>
                    </w:rPr>
                  </w:pPr>
                  <w:r>
                    <w:rPr>
                      <w:rFonts w:hint="default" w:ascii="Times New Roman" w:hAnsi="Times New Roman" w:cs="Times New Roman"/>
                    </w:rPr>
                    <w:t>4#北</w:t>
                  </w:r>
                </w:p>
              </w:tc>
              <w:tc>
                <w:tcPr>
                  <w:tcW w:w="1332" w:type="dxa"/>
                  <w:vMerge w:val="continue"/>
                  <w:noWrap w:val="0"/>
                  <w:vAlign w:val="center"/>
                </w:tcPr>
                <w:p>
                  <w:pPr>
                    <w:pStyle w:val="45"/>
                    <w:bidi w:val="0"/>
                    <w:rPr>
                      <w:rFonts w:hint="default" w:ascii="Times New Roman" w:hAnsi="Times New Roman" w:cs="Times New Roman"/>
                    </w:rPr>
                  </w:pPr>
                </w:p>
              </w:tc>
              <w:tc>
                <w:tcPr>
                  <w:tcW w:w="1653" w:type="dxa"/>
                  <w:vMerge w:val="continue"/>
                  <w:noWrap w:val="0"/>
                  <w:vAlign w:val="center"/>
                </w:tcPr>
                <w:p>
                  <w:pPr>
                    <w:pStyle w:val="45"/>
                    <w:bidi w:val="0"/>
                    <w:rPr>
                      <w:rFonts w:hint="default" w:ascii="Times New Roman" w:hAnsi="Times New Roman" w:cs="Times New Roman"/>
                    </w:rPr>
                  </w:pPr>
                </w:p>
              </w:tc>
              <w:tc>
                <w:tcPr>
                  <w:tcW w:w="1125" w:type="dxa"/>
                  <w:vMerge w:val="continue"/>
                  <w:noWrap w:val="0"/>
                  <w:vAlign w:val="center"/>
                </w:tcPr>
                <w:p>
                  <w:pPr>
                    <w:pStyle w:val="45"/>
                    <w:bidi w:val="0"/>
                    <w:rPr>
                      <w:rFonts w:hint="default" w:ascii="Times New Roman" w:hAnsi="Times New Roman" w:cs="Times New Roman"/>
                    </w:rPr>
                  </w:pPr>
                </w:p>
              </w:tc>
              <w:tc>
                <w:tcPr>
                  <w:tcW w:w="1498" w:type="dxa"/>
                  <w:vMerge w:val="continue"/>
                  <w:noWrap w:val="0"/>
                  <w:vAlign w:val="center"/>
                </w:tcPr>
                <w:p>
                  <w:pPr>
                    <w:pStyle w:val="45"/>
                    <w:bidi w:val="0"/>
                    <w:rPr>
                      <w:rFonts w:hint="default" w:ascii="Times New Roman" w:hAnsi="Times New Roman" w:cs="Times New Roman"/>
                    </w:rPr>
                  </w:pPr>
                </w:p>
              </w:tc>
              <w:tc>
                <w:tcPr>
                  <w:tcW w:w="1386" w:type="dxa"/>
                  <w:noWrap w:val="0"/>
                  <w:vAlign w:val="center"/>
                </w:tcPr>
                <w:p>
                  <w:pPr>
                    <w:pStyle w:val="45"/>
                    <w:bidi w:val="0"/>
                    <w:rPr>
                      <w:rFonts w:hint="default" w:ascii="Times New Roman" w:hAnsi="Times New Roman" w:cs="Times New Roman"/>
                    </w:rPr>
                  </w:pPr>
                  <w:r>
                    <w:rPr>
                      <w:rFonts w:hint="default" w:ascii="Times New Roman" w:hAnsi="Times New Roman" w:cs="Times New Roman"/>
                    </w:rPr>
                    <w:t>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敏感目标提古村</w:t>
                  </w:r>
                </w:p>
              </w:tc>
              <w:tc>
                <w:tcPr>
                  <w:tcW w:w="1332" w:type="dxa"/>
                  <w:noWrap w:val="0"/>
                  <w:vAlign w:val="center"/>
                </w:tcPr>
                <w:p>
                  <w:pPr>
                    <w:pStyle w:val="45"/>
                    <w:bidi w:val="0"/>
                    <w:ind w:firstLine="0" w:firstLineChars="0"/>
                    <w:rPr>
                      <w:rFonts w:hint="default" w:ascii="Times New Roman" w:hAnsi="Times New Roman" w:cs="Times New Roman"/>
                    </w:rPr>
                  </w:pPr>
                  <w:r>
                    <w:rPr>
                      <w:rFonts w:hint="default" w:ascii="Times New Roman" w:hAnsi="Times New Roman" w:cs="Times New Roman"/>
                    </w:rPr>
                    <w:t>Leq（A）</w:t>
                  </w:r>
                </w:p>
              </w:tc>
              <w:tc>
                <w:tcPr>
                  <w:tcW w:w="1653" w:type="dxa"/>
                  <w:noWrap w:val="0"/>
                  <w:vAlign w:val="center"/>
                </w:tcPr>
                <w:p>
                  <w:pPr>
                    <w:pStyle w:val="45"/>
                    <w:bidi w:val="0"/>
                    <w:ind w:firstLine="0" w:firstLineChars="0"/>
                    <w:rPr>
                      <w:rFonts w:hint="default" w:ascii="Times New Roman" w:hAnsi="Times New Roman" w:cs="Times New Roman"/>
                    </w:rPr>
                  </w:pPr>
                  <w:r>
                    <w:rPr>
                      <w:rFonts w:hint="default" w:ascii="Times New Roman" w:hAnsi="Times New Roman" w:cs="Times New Roman"/>
                    </w:rPr>
                    <w:t>GB3096-2008《声环境质量标准》2类昼间标准，昼间≤60dB（A）</w:t>
                  </w:r>
                </w:p>
              </w:tc>
              <w:tc>
                <w:tcPr>
                  <w:tcW w:w="1125" w:type="dxa"/>
                  <w:noWrap w:val="0"/>
                  <w:vAlign w:val="center"/>
                </w:tcPr>
                <w:p>
                  <w:pPr>
                    <w:pStyle w:val="45"/>
                    <w:bidi w:val="0"/>
                    <w:ind w:firstLine="0" w:firstLineChars="0"/>
                    <w:rPr>
                      <w:rFonts w:hint="default" w:ascii="Times New Roman" w:hAnsi="Times New Roman" w:cs="Times New Roman"/>
                    </w:rPr>
                  </w:pPr>
                  <w:r>
                    <w:rPr>
                      <w:rFonts w:hint="default" w:ascii="Times New Roman" w:hAnsi="Times New Roman" w:cs="Times New Roman"/>
                    </w:rPr>
                    <w:t>昼间：6</w:t>
                  </w:r>
                  <w:r>
                    <w:rPr>
                      <w:rFonts w:hint="default" w:ascii="Times New Roman" w:hAnsi="Times New Roman" w:cs="Times New Roman"/>
                      <w:lang w:val="en-US" w:eastAsia="zh-CN"/>
                    </w:rPr>
                    <w:t>0</w:t>
                  </w:r>
                  <w:r>
                    <w:rPr>
                      <w:rFonts w:hint="default" w:ascii="Times New Roman" w:hAnsi="Times New Roman" w:cs="Times New Roman"/>
                    </w:rPr>
                    <w:t>dB（A）；夜间：5</w:t>
                  </w:r>
                  <w:r>
                    <w:rPr>
                      <w:rFonts w:hint="default" w:ascii="Times New Roman" w:hAnsi="Times New Roman" w:cs="Times New Roman"/>
                      <w:lang w:val="en-US" w:eastAsia="zh-CN"/>
                    </w:rPr>
                    <w:t>0</w:t>
                  </w:r>
                  <w:r>
                    <w:rPr>
                      <w:rFonts w:hint="default" w:ascii="Times New Roman" w:hAnsi="Times New Roman" w:cs="Times New Roman"/>
                    </w:rPr>
                    <w:t>dB（A）</w:t>
                  </w:r>
                </w:p>
              </w:tc>
              <w:tc>
                <w:tcPr>
                  <w:tcW w:w="1498" w:type="dxa"/>
                  <w:vMerge w:val="continue"/>
                  <w:noWrap w:val="0"/>
                  <w:vAlign w:val="center"/>
                </w:tcPr>
                <w:p>
                  <w:pPr>
                    <w:pStyle w:val="45"/>
                    <w:bidi w:val="0"/>
                    <w:ind w:firstLine="0" w:firstLineChars="0"/>
                    <w:rPr>
                      <w:rFonts w:hint="default" w:ascii="Times New Roman" w:hAnsi="Times New Roman" w:cs="Times New Roman"/>
                    </w:rPr>
                  </w:pPr>
                </w:p>
              </w:tc>
              <w:tc>
                <w:tcPr>
                  <w:tcW w:w="1386" w:type="dxa"/>
                  <w:noWrap w:val="0"/>
                  <w:vAlign w:val="center"/>
                </w:tcPr>
                <w:p>
                  <w:pPr>
                    <w:pStyle w:val="45"/>
                    <w:bidi w:val="0"/>
                    <w:rPr>
                      <w:rFonts w:hint="default" w:ascii="Times New Roman" w:hAnsi="Times New Roman" w:cs="Times New Roman"/>
                    </w:rPr>
                  </w:pPr>
                  <w:r>
                    <w:rPr>
                      <w:rFonts w:hint="default" w:ascii="Times New Roman" w:hAnsi="Times New Roman" w:cs="Times New Roman"/>
                    </w:rPr>
                    <w:t>1次/季</w:t>
                  </w:r>
                </w:p>
              </w:tc>
            </w:tr>
          </w:tbl>
          <w:p>
            <w:pPr>
              <w:bidi w:val="0"/>
              <w:rPr>
                <w:rFonts w:hint="default" w:ascii="Times New Roman" w:hAnsi="Times New Roman" w:cs="Times New Roman"/>
                <w:b/>
                <w:bCs/>
              </w:rPr>
            </w:pPr>
            <w:r>
              <w:rPr>
                <w:rFonts w:hint="default" w:ascii="Times New Roman" w:hAnsi="Times New Roman" w:cs="Times New Roman"/>
                <w:b/>
                <w:bCs/>
              </w:rPr>
              <w:t>4.2.4固体废物环境影响分析</w:t>
            </w:r>
          </w:p>
          <w:p>
            <w:pPr>
              <w:bidi w:val="0"/>
              <w:rPr>
                <w:rFonts w:hint="default" w:ascii="Times New Roman" w:hAnsi="Times New Roman" w:cs="Times New Roman"/>
              </w:rPr>
            </w:pPr>
            <w:r>
              <w:rPr>
                <w:rFonts w:hint="default" w:ascii="Times New Roman" w:hAnsi="Times New Roman" w:cs="Times New Roman"/>
              </w:rPr>
              <w:t>本项目产生的固体废物主要为一般固废和危险固废。</w:t>
            </w:r>
          </w:p>
          <w:p>
            <w:pPr>
              <w:bidi w:val="0"/>
              <w:rPr>
                <w:rFonts w:hint="default" w:ascii="Times New Roman" w:hAnsi="Times New Roman" w:cs="Times New Roman"/>
              </w:rPr>
            </w:pPr>
            <w:r>
              <w:rPr>
                <w:rFonts w:hint="default" w:ascii="Times New Roman" w:hAnsi="Times New Roman" w:cs="Times New Roman"/>
              </w:rPr>
              <w:t>本项目一般固废主要包括生活垃圾、餐饮垃圾、化粪池污泥，</w:t>
            </w:r>
            <w:r>
              <w:rPr>
                <w:rFonts w:hint="eastAsia" w:cs="Times New Roman"/>
                <w:lang w:eastAsia="zh-CN"/>
              </w:rPr>
              <w:t>油水分离器</w:t>
            </w:r>
            <w:r>
              <w:rPr>
                <w:rFonts w:hint="default" w:ascii="Times New Roman" w:hAnsi="Times New Roman" w:cs="Times New Roman"/>
              </w:rPr>
              <w:t>油污、废玻璃边角料、玻璃次品、包装固废、沉淀槽收集的玻璃碎屑、废密封胶桶。</w:t>
            </w:r>
          </w:p>
          <w:p>
            <w:pPr>
              <w:bidi w:val="0"/>
              <w:rPr>
                <w:rFonts w:hint="default" w:ascii="Times New Roman" w:hAnsi="Times New Roman" w:cs="Times New Roman"/>
              </w:rPr>
            </w:pPr>
            <w:r>
              <w:rPr>
                <w:rFonts w:hint="default" w:ascii="Times New Roman" w:hAnsi="Times New Roman" w:cs="Times New Roman"/>
              </w:rPr>
              <w:t>本项目危险固废主要为废活性炭、废润滑油、废润滑油桶</w:t>
            </w:r>
          </w:p>
          <w:p>
            <w:pPr>
              <w:bidi w:val="0"/>
              <w:rPr>
                <w:rFonts w:hint="default" w:ascii="Times New Roman" w:hAnsi="Times New Roman" w:cs="Times New Roman"/>
                <w:b/>
                <w:bCs/>
              </w:rPr>
            </w:pPr>
            <w:r>
              <w:rPr>
                <w:rFonts w:hint="default" w:ascii="Times New Roman" w:hAnsi="Times New Roman" w:cs="Times New Roman"/>
                <w:b/>
                <w:bCs/>
                <w:lang w:val="en-US" w:eastAsia="zh-CN"/>
              </w:rPr>
              <w:t>1</w:t>
            </w:r>
            <w:r>
              <w:rPr>
                <w:rFonts w:hint="default" w:ascii="Times New Roman" w:hAnsi="Times New Roman" w:cs="Times New Roman"/>
                <w:b/>
                <w:bCs/>
              </w:rPr>
              <w:t>、一般固废</w:t>
            </w:r>
          </w:p>
          <w:p>
            <w:pPr>
              <w:bidi w:val="0"/>
              <w:rPr>
                <w:rFonts w:hint="default" w:ascii="Times New Roman" w:hAnsi="Times New Roman" w:cs="Times New Roman"/>
                <w:b/>
                <w:bCs/>
              </w:rPr>
            </w:pPr>
            <w:r>
              <w:rPr>
                <w:rFonts w:hint="default" w:ascii="Times New Roman" w:hAnsi="Times New Roman" w:cs="Times New Roman"/>
                <w:b/>
                <w:bCs/>
              </w:rPr>
              <w:t>（1）一般固废产生情况</w:t>
            </w:r>
          </w:p>
          <w:p>
            <w:pPr>
              <w:bidi w:val="0"/>
              <w:rPr>
                <w:rFonts w:hint="default" w:ascii="Times New Roman" w:hAnsi="Times New Roman" w:cs="Times New Roman"/>
              </w:rPr>
            </w:pPr>
            <w:r>
              <w:rPr>
                <w:rFonts w:hint="default" w:ascii="Times New Roman" w:hAnsi="Times New Roman" w:cs="Times New Roman"/>
              </w:rPr>
              <w:t>①生活垃圾</w:t>
            </w:r>
          </w:p>
          <w:p>
            <w:pPr>
              <w:bidi w:val="0"/>
              <w:rPr>
                <w:rFonts w:hint="default" w:ascii="Times New Roman" w:hAnsi="Times New Roman" w:cs="Times New Roman"/>
                <w:spacing w:val="-2"/>
                <w:szCs w:val="24"/>
              </w:rPr>
            </w:pPr>
            <w:r>
              <w:rPr>
                <w:rFonts w:hint="default" w:ascii="Times New Roman" w:hAnsi="Times New Roman" w:cs="Times New Roman"/>
              </w:rPr>
              <w:t>本项目产生的生活垃圾主要为职工生活垃圾。产生量按0.5kg/（人·d）计算</w:t>
            </w:r>
            <w:r>
              <w:rPr>
                <w:rFonts w:hint="default" w:ascii="Times New Roman" w:hAnsi="Times New Roman" w:cs="Times New Roman"/>
                <w:spacing w:val="-2"/>
                <w:szCs w:val="24"/>
              </w:rPr>
              <w:t>，项目员工共30人，全部在项目区内食宿，则职工生活垃圾产生量为15kg/d、4.5t/a，生活垃圾交与云南鑫成鹏高分子科技有限公司一同委托环卫部门清运处置。</w:t>
            </w:r>
          </w:p>
          <w:p>
            <w:pPr>
              <w:bidi w:val="0"/>
              <w:rPr>
                <w:rFonts w:hint="default" w:ascii="Times New Roman" w:hAnsi="Times New Roman" w:cs="Times New Roman"/>
                <w:spacing w:val="-2"/>
                <w:szCs w:val="24"/>
              </w:rPr>
            </w:pPr>
            <w:r>
              <w:rPr>
                <w:rFonts w:hint="default" w:ascii="Times New Roman" w:hAnsi="Times New Roman" w:cs="Times New Roman"/>
                <w:spacing w:val="-2"/>
                <w:szCs w:val="24"/>
              </w:rPr>
              <w:t>②餐饮垃圾</w:t>
            </w:r>
          </w:p>
          <w:p>
            <w:pPr>
              <w:bidi w:val="0"/>
              <w:rPr>
                <w:rFonts w:hint="default" w:ascii="Times New Roman" w:hAnsi="Times New Roman" w:cs="Times New Roman"/>
                <w:spacing w:val="-2"/>
                <w:szCs w:val="24"/>
              </w:rPr>
            </w:pPr>
            <w:r>
              <w:rPr>
                <w:rFonts w:hint="default" w:ascii="Times New Roman" w:hAnsi="Times New Roman" w:cs="Times New Roman"/>
                <w:spacing w:val="-2"/>
                <w:szCs w:val="24"/>
              </w:rPr>
              <w:t>餐饮垃圾主要为食品加工过程中产生的边角余料及剩饭剩菜及其它废物，均属于泔水，根据相关经验数据，餐饮垃圾以平均0.5kg/（人次•d）计，项目餐厅就餐人数30人/d，则产生餐饮垃圾为15kg/d、4.5t/a，餐饮垃圾交与云南鑫成鹏高分子科技有限公司一同委托环卫部门清运处置。</w:t>
            </w:r>
          </w:p>
          <w:p>
            <w:pPr>
              <w:bidi w:val="0"/>
              <w:rPr>
                <w:rFonts w:hint="default" w:ascii="Times New Roman" w:hAnsi="Times New Roman" w:cs="Times New Roman"/>
                <w:spacing w:val="-2"/>
                <w:szCs w:val="24"/>
              </w:rPr>
            </w:pPr>
            <w:r>
              <w:rPr>
                <w:rFonts w:hint="default" w:ascii="Times New Roman" w:hAnsi="Times New Roman" w:cs="Times New Roman"/>
                <w:spacing w:val="-2"/>
                <w:szCs w:val="24"/>
              </w:rPr>
              <w:t>③化粪池污泥</w:t>
            </w:r>
          </w:p>
          <w:p>
            <w:pPr>
              <w:bidi w:val="0"/>
              <w:rPr>
                <w:rFonts w:hint="default" w:ascii="Times New Roman" w:hAnsi="Times New Roman" w:cs="Times New Roman"/>
                <w:spacing w:val="-2"/>
                <w:szCs w:val="24"/>
              </w:rPr>
            </w:pPr>
            <w:r>
              <w:rPr>
                <w:rFonts w:hint="default" w:ascii="Times New Roman" w:hAnsi="Times New Roman" w:cs="Times New Roman"/>
                <w:spacing w:val="-2"/>
                <w:szCs w:val="24"/>
              </w:rPr>
              <w:t>参考《集中式污染治理设施产排污系数手册（2010修订）》，污泥产生量按照16.7t/万t废水处理量计算，本项目产生生活污水720m³/a，则化粪池与污水处理站产生污泥为1.2t/a，本项目依托云南鑫成鹏高分子科技有限公司的化粪池，化粪池污泥由云南鑫成鹏高分子科技有限公司定期委托环卫部门处置。</w:t>
            </w:r>
          </w:p>
          <w:p>
            <w:pPr>
              <w:bidi w:val="0"/>
              <w:rPr>
                <w:rFonts w:hint="default" w:ascii="Times New Roman" w:hAnsi="Times New Roman" w:cs="Times New Roman"/>
                <w:spacing w:val="-2"/>
                <w:szCs w:val="24"/>
              </w:rPr>
            </w:pPr>
            <w:r>
              <w:rPr>
                <w:rFonts w:hint="default" w:ascii="Times New Roman" w:hAnsi="Times New Roman" w:cs="Times New Roman"/>
                <w:spacing w:val="-2"/>
                <w:szCs w:val="24"/>
              </w:rPr>
              <w:t>④</w:t>
            </w:r>
            <w:r>
              <w:rPr>
                <w:rFonts w:hint="eastAsia" w:cs="Times New Roman"/>
                <w:spacing w:val="-2"/>
                <w:szCs w:val="24"/>
                <w:lang w:eastAsia="zh-CN"/>
              </w:rPr>
              <w:t>油水分离器</w:t>
            </w:r>
            <w:r>
              <w:rPr>
                <w:rFonts w:hint="default" w:ascii="Times New Roman" w:hAnsi="Times New Roman" w:cs="Times New Roman"/>
                <w:spacing w:val="-2"/>
                <w:szCs w:val="24"/>
              </w:rPr>
              <w:t>油</w:t>
            </w:r>
          </w:p>
          <w:p>
            <w:pPr>
              <w:bidi w:val="0"/>
              <w:rPr>
                <w:rFonts w:hint="default" w:ascii="Times New Roman" w:hAnsi="Times New Roman" w:cs="Times New Roman"/>
                <w:spacing w:val="-2"/>
                <w:szCs w:val="24"/>
              </w:rPr>
            </w:pPr>
            <w:r>
              <w:rPr>
                <w:rFonts w:hint="default" w:ascii="Times New Roman" w:hAnsi="Times New Roman" w:cs="Times New Roman"/>
                <w:spacing w:val="-2"/>
                <w:szCs w:val="24"/>
              </w:rPr>
              <w:t>本项目</w:t>
            </w:r>
            <w:r>
              <w:rPr>
                <w:rFonts w:hint="eastAsia" w:cs="Times New Roman"/>
                <w:spacing w:val="-2"/>
                <w:szCs w:val="24"/>
                <w:lang w:eastAsia="zh-CN"/>
              </w:rPr>
              <w:t>油水分离器</w:t>
            </w:r>
            <w:r>
              <w:rPr>
                <w:rFonts w:hint="default" w:ascii="Times New Roman" w:hAnsi="Times New Roman" w:cs="Times New Roman"/>
                <w:spacing w:val="-2"/>
                <w:szCs w:val="24"/>
              </w:rPr>
              <w:t>油污约产生量为0.</w:t>
            </w:r>
            <w:r>
              <w:rPr>
                <w:rFonts w:hint="default" w:ascii="Times New Roman" w:hAnsi="Times New Roman" w:cs="Times New Roman"/>
                <w:spacing w:val="-2"/>
                <w:szCs w:val="24"/>
                <w:lang w:val="en-US" w:eastAsia="zh-CN"/>
              </w:rPr>
              <w:t>1</w:t>
            </w:r>
            <w:r>
              <w:rPr>
                <w:rFonts w:hint="default" w:ascii="Times New Roman" w:hAnsi="Times New Roman" w:cs="Times New Roman"/>
                <w:spacing w:val="-2"/>
                <w:szCs w:val="24"/>
              </w:rPr>
              <w:t>t/a。定期委托环卫部门处置。</w:t>
            </w:r>
            <w:r>
              <w:rPr>
                <w:rFonts w:hint="eastAsia" w:cs="Times New Roman"/>
                <w:spacing w:val="-2"/>
                <w:szCs w:val="24"/>
                <w:lang w:eastAsia="zh-CN"/>
              </w:rPr>
              <w:t>油水分离器</w:t>
            </w:r>
            <w:r>
              <w:rPr>
                <w:rFonts w:hint="default" w:ascii="Times New Roman" w:hAnsi="Times New Roman" w:cs="Times New Roman"/>
                <w:spacing w:val="-2"/>
                <w:szCs w:val="24"/>
              </w:rPr>
              <w:t>油污交与云南鑫成鹏高分子科技有限公司一同委托环卫部门清运处置。</w:t>
            </w:r>
          </w:p>
          <w:p>
            <w:pPr>
              <w:bidi w:val="0"/>
              <w:rPr>
                <w:rFonts w:hint="default" w:ascii="Times New Roman" w:hAnsi="Times New Roman" w:cs="Times New Roman"/>
                <w:spacing w:val="-2"/>
                <w:szCs w:val="24"/>
              </w:rPr>
            </w:pPr>
            <w:r>
              <w:rPr>
                <w:rFonts w:hint="default" w:ascii="Times New Roman" w:hAnsi="Times New Roman" w:cs="Times New Roman"/>
                <w:spacing w:val="-2"/>
                <w:szCs w:val="24"/>
                <w:lang w:val="en-US" w:eastAsia="zh-CN"/>
              </w:rPr>
              <w:t>⑤</w:t>
            </w:r>
            <w:r>
              <w:rPr>
                <w:rFonts w:hint="default" w:ascii="Times New Roman" w:hAnsi="Times New Roman" w:cs="Times New Roman"/>
                <w:spacing w:val="-2"/>
                <w:szCs w:val="24"/>
              </w:rPr>
              <w:t>玻璃次品</w:t>
            </w:r>
          </w:p>
          <w:p>
            <w:pPr>
              <w:bidi w:val="0"/>
              <w:rPr>
                <w:rFonts w:hint="default" w:ascii="Times New Roman" w:hAnsi="Times New Roman" w:eastAsia="宋体" w:cs="Times New Roman"/>
                <w:spacing w:val="-2"/>
                <w:szCs w:val="24"/>
                <w:lang w:eastAsia="zh-CN"/>
              </w:rPr>
            </w:pPr>
            <w:r>
              <w:rPr>
                <w:rFonts w:hint="default" w:ascii="Times New Roman" w:hAnsi="Times New Roman" w:cs="Times New Roman"/>
                <w:spacing w:val="-2"/>
                <w:szCs w:val="24"/>
              </w:rPr>
              <w:t>根据建设单位提供的资料本项目玻璃次品为0.1t/d，30t/a。收集后外售废品回收站</w:t>
            </w:r>
            <w:r>
              <w:rPr>
                <w:rFonts w:hint="default" w:ascii="Times New Roman" w:hAnsi="Times New Roman" w:cs="Times New Roman"/>
                <w:spacing w:val="-2"/>
                <w:szCs w:val="24"/>
                <w:lang w:eastAsia="zh-CN"/>
              </w:rPr>
              <w:t>。</w:t>
            </w:r>
          </w:p>
          <w:p>
            <w:pPr>
              <w:bidi w:val="0"/>
              <w:rPr>
                <w:rFonts w:hint="default" w:ascii="Times New Roman" w:hAnsi="Times New Roman" w:cs="Times New Roman"/>
                <w:spacing w:val="-2"/>
                <w:szCs w:val="24"/>
              </w:rPr>
            </w:pPr>
            <w:r>
              <w:rPr>
                <w:rFonts w:hint="default" w:ascii="Times New Roman" w:hAnsi="Times New Roman" w:cs="Times New Roman"/>
                <w:spacing w:val="-2"/>
                <w:szCs w:val="24"/>
                <w:lang w:val="en-US" w:eastAsia="zh-CN"/>
              </w:rPr>
              <w:t>⑥</w:t>
            </w:r>
            <w:r>
              <w:rPr>
                <w:rFonts w:hint="default" w:ascii="Times New Roman" w:hAnsi="Times New Roman" w:cs="Times New Roman"/>
                <w:spacing w:val="-2"/>
                <w:szCs w:val="24"/>
              </w:rPr>
              <w:t>废包装固废</w:t>
            </w:r>
          </w:p>
          <w:p>
            <w:pPr>
              <w:bidi w:val="0"/>
              <w:rPr>
                <w:rFonts w:hint="default" w:ascii="Times New Roman" w:hAnsi="Times New Roman" w:cs="Times New Roman"/>
                <w:spacing w:val="-2"/>
                <w:szCs w:val="24"/>
              </w:rPr>
            </w:pPr>
            <w:r>
              <w:rPr>
                <w:rFonts w:hint="default" w:ascii="Times New Roman" w:hAnsi="Times New Roman" w:cs="Times New Roman"/>
                <w:spacing w:val="-2"/>
                <w:szCs w:val="24"/>
              </w:rPr>
              <w:t>项目原辅材料、产品采用纸箱、包装带等。纸箱、包装带等使用过程会有少量的包装废弃物，产生量约1t/a，包装固废统一收集后外售废品回收站。</w:t>
            </w:r>
          </w:p>
          <w:p>
            <w:pPr>
              <w:bidi w:val="0"/>
              <w:rPr>
                <w:rFonts w:hint="default" w:ascii="Times New Roman" w:hAnsi="Times New Roman" w:cs="Times New Roman"/>
                <w:b/>
                <w:bCs/>
              </w:rPr>
            </w:pPr>
            <w:r>
              <w:rPr>
                <w:rFonts w:hint="default" w:ascii="Times New Roman" w:hAnsi="Times New Roman" w:cs="Times New Roman"/>
                <w:b/>
                <w:bCs/>
              </w:rPr>
              <w:t>（1）危险废物</w:t>
            </w:r>
          </w:p>
          <w:p>
            <w:pPr>
              <w:bidi w:val="0"/>
              <w:rPr>
                <w:rFonts w:hint="default" w:ascii="Times New Roman" w:hAnsi="Times New Roman" w:cs="Times New Roman"/>
              </w:rPr>
            </w:pPr>
            <w:r>
              <w:rPr>
                <w:rFonts w:hint="default" w:ascii="Times New Roman" w:hAnsi="Times New Roman" w:cs="Times New Roman"/>
              </w:rPr>
              <w:t>①废活性炭</w:t>
            </w:r>
          </w:p>
          <w:p>
            <w:pPr>
              <w:pStyle w:val="42"/>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非甲烷总烃采用集气罩+二级活性炭吸附处理，项目二级活性炭吸附装置中的活性炭为危险废物。根据《国家危险废物名录》（2021版）的相关规定，废活性炭属于HW49其他废物“烟气、VOCs治理过程（不包括餐饮行业油烟治理过程）产生的废活性炭，化学原料和化学制品脱色（不包括有机合成食品添加剂脱色）、除杂、净化过程产生的废活性炭（不包括900-405-06、772-005-18、261-053-29、265-002-29、384-003-29、387-001-29类废物”，危废代码为900-039-49。</w:t>
            </w:r>
          </w:p>
          <w:p>
            <w:pPr>
              <w:bidi w:val="0"/>
              <w:rPr>
                <w:rFonts w:hint="default" w:ascii="Times New Roman" w:hAnsi="Times New Roman" w:cs="Times New Roman"/>
              </w:rPr>
            </w:pPr>
            <w:r>
              <w:rPr>
                <w:rFonts w:hint="default" w:ascii="Times New Roman" w:hAnsi="Times New Roman" w:cs="Times New Roman"/>
              </w:rPr>
              <w:t>项目有机废气处理采用</w:t>
            </w:r>
            <w:r>
              <w:rPr>
                <w:rFonts w:hint="default" w:ascii="Times New Roman" w:hAnsi="Times New Roman" w:cs="Times New Roman"/>
                <w:lang w:val="en-US" w:eastAsia="zh-CN"/>
              </w:rPr>
              <w:t>二级</w:t>
            </w:r>
            <w:r>
              <w:rPr>
                <w:rFonts w:hint="default" w:ascii="Times New Roman" w:hAnsi="Times New Roman" w:cs="Times New Roman"/>
              </w:rPr>
              <w:t>活性炭吸附设备工艺，活性炭需定期更换，每年更换</w:t>
            </w:r>
            <w:r>
              <w:rPr>
                <w:rFonts w:hint="default" w:ascii="Times New Roman" w:hAnsi="Times New Roman" w:cs="Times New Roman"/>
                <w:lang w:val="en-US" w:eastAsia="zh-CN"/>
              </w:rPr>
              <w:t>4</w:t>
            </w:r>
            <w:r>
              <w:rPr>
                <w:rFonts w:hint="default" w:ascii="Times New Roman" w:hAnsi="Times New Roman" w:cs="Times New Roman"/>
              </w:rPr>
              <w:t>次，根据《简明通风设计手册》P510页，活性炭有效吸附量:qe=0.24kg/kg活性炭，密封过程有机废气</w:t>
            </w:r>
            <w:r>
              <w:rPr>
                <w:rFonts w:hint="default" w:ascii="Times New Roman" w:hAnsi="Times New Roman" w:cs="Times New Roman"/>
                <w:lang w:val="en-US" w:eastAsia="zh-CN"/>
              </w:rPr>
              <w:t>吸附量</w:t>
            </w:r>
            <w:r>
              <w:rPr>
                <w:rFonts w:hint="default" w:ascii="Times New Roman" w:hAnsi="Times New Roman" w:cs="Times New Roman"/>
              </w:rPr>
              <w:t>为</w:t>
            </w:r>
            <w:r>
              <w:rPr>
                <w:rFonts w:hint="default" w:ascii="Times New Roman" w:hAnsi="Times New Roman" w:cs="Times New Roman"/>
                <w:lang w:val="en-US" w:eastAsia="zh-CN"/>
              </w:rPr>
              <w:t>3.0132</w:t>
            </w:r>
            <w:r>
              <w:rPr>
                <w:rFonts w:hint="default" w:ascii="Times New Roman" w:hAnsi="Times New Roman" w:cs="Times New Roman"/>
              </w:rPr>
              <w:t>t/a，因此本项目产生废活性炭量约为</w:t>
            </w:r>
            <w:r>
              <w:rPr>
                <w:rFonts w:hint="default" w:ascii="Times New Roman" w:hAnsi="Times New Roman" w:cs="Times New Roman"/>
                <w:lang w:val="en-US" w:eastAsia="zh-CN"/>
              </w:rPr>
              <w:t>12.555</w:t>
            </w:r>
            <w:r>
              <w:rPr>
                <w:rFonts w:hint="default" w:ascii="Times New Roman" w:hAnsi="Times New Roman" w:cs="Times New Roman"/>
              </w:rPr>
              <w:t>t/a，根据《国家危险废物名录》（2021版），废活性炭属于HW49其他废物，废物代码为900-039-49，烟气、VOCs治理过程中（不包括餐饮行业油烟治理过程）产生的废活性炭，化学原料和化学制品脱色（不包括有机合成食品添加剂脱色）、除杂、净化过程产生的废活性炭</w:t>
            </w:r>
            <w:r>
              <w:rPr>
                <w:rFonts w:hint="default" w:ascii="Times New Roman" w:hAnsi="Times New Roman" w:cs="Times New Roman"/>
                <w:lang w:eastAsia="zh-CN"/>
              </w:rPr>
              <w:t>，</w:t>
            </w:r>
            <w:r>
              <w:rPr>
                <w:rFonts w:hint="default" w:ascii="Times New Roman" w:hAnsi="Times New Roman" w:cs="Times New Roman"/>
              </w:rPr>
              <w:t>定期委托有资质的单位进行处置。</w:t>
            </w:r>
          </w:p>
          <w:p>
            <w:pPr>
              <w:bidi w:val="0"/>
              <w:rPr>
                <w:rFonts w:hint="default" w:ascii="Times New Roman" w:hAnsi="Times New Roman" w:eastAsia="宋体" w:cs="Times New Roman"/>
                <w:lang w:val="en-US" w:eastAsia="zh-CN"/>
              </w:rPr>
            </w:pPr>
            <w:r>
              <w:rPr>
                <w:rFonts w:hint="default" w:ascii="Times New Roman" w:hAnsi="Times New Roman" w:cs="Times New Roman"/>
              </w:rPr>
              <w:t>②</w:t>
            </w:r>
            <w:r>
              <w:rPr>
                <w:rFonts w:hint="default" w:ascii="Times New Roman" w:hAnsi="Times New Roman" w:cs="Times New Roman"/>
                <w:lang w:val="en-US" w:eastAsia="zh-CN"/>
              </w:rPr>
              <w:t>废胶桶</w:t>
            </w:r>
          </w:p>
          <w:p>
            <w:pPr>
              <w:bidi w:val="0"/>
              <w:rPr>
                <w:rFonts w:hint="default" w:ascii="Times New Roman" w:hAnsi="Times New Roman" w:cs="Times New Roman"/>
              </w:rPr>
            </w:pPr>
            <w:r>
              <w:rPr>
                <w:rFonts w:hint="default" w:ascii="Times New Roman" w:hAnsi="Times New Roman" w:cs="Times New Roman"/>
                <w:lang w:val="en-US" w:eastAsia="zh-CN"/>
              </w:rPr>
              <w:t>废胶桶</w:t>
            </w:r>
            <w:r>
              <w:rPr>
                <w:rFonts w:hint="default" w:ascii="Times New Roman" w:hAnsi="Times New Roman" w:cs="Times New Roman"/>
              </w:rPr>
              <w:t>：根据建设单位提供的资料，产生的粘胶</w:t>
            </w:r>
            <w:r>
              <w:rPr>
                <w:rFonts w:hint="default" w:ascii="Times New Roman" w:hAnsi="Times New Roman" w:cs="Times New Roman"/>
                <w:lang w:val="en-US" w:eastAsia="zh-CN"/>
              </w:rPr>
              <w:t>废胶桶</w:t>
            </w:r>
            <w:r>
              <w:rPr>
                <w:rFonts w:hint="default" w:ascii="Times New Roman" w:hAnsi="Times New Roman" w:cs="Times New Roman"/>
              </w:rPr>
              <w:t>约</w:t>
            </w:r>
            <w:r>
              <w:rPr>
                <w:rFonts w:hint="default" w:ascii="Times New Roman" w:hAnsi="Times New Roman" w:cs="Times New Roman"/>
                <w:lang w:val="en-US" w:eastAsia="zh-CN"/>
              </w:rPr>
              <w:t>3.75</w:t>
            </w:r>
            <w:r>
              <w:rPr>
                <w:rFonts w:hint="default" w:ascii="Times New Roman" w:hAnsi="Times New Roman" w:cs="Times New Roman"/>
              </w:rPr>
              <w:t>t，根据《国家危险废物名录》（2021版）粘胶废包装袋属于“HW49其他废物（900-041-49）含有或沾染毒性、感染性危险废物的废弃包装物、容器、过滤吸附介质”，集中收集至危废暂存间后交由有危废处理资质的单位处理。</w:t>
            </w:r>
          </w:p>
          <w:p>
            <w:pPr>
              <w:bidi w:val="0"/>
              <w:rPr>
                <w:rFonts w:hint="default" w:ascii="Times New Roman" w:hAnsi="Times New Roman" w:cs="Times New Roman"/>
              </w:rPr>
            </w:pPr>
            <w:r>
              <w:rPr>
                <w:rFonts w:hint="default" w:ascii="Times New Roman" w:hAnsi="Times New Roman" w:cs="Times New Roman"/>
              </w:rPr>
              <w:t>③废润滑油、废润滑油桶</w:t>
            </w:r>
          </w:p>
          <w:p>
            <w:pPr>
              <w:bidi w:val="0"/>
              <w:rPr>
                <w:rFonts w:hint="default" w:ascii="Times New Roman" w:hAnsi="Times New Roman" w:cs="Times New Roman"/>
              </w:rPr>
            </w:pPr>
            <w:r>
              <w:rPr>
                <w:rFonts w:hint="default" w:ascii="Times New Roman" w:hAnsi="Times New Roman" w:cs="Times New Roman"/>
              </w:rPr>
              <w:t>项目机修过程中产生的废润滑油产生量为：0.3t/a，废润滑油桶产生量约为：0.2t/a。根据《国家危险废物名录》（2021年版）废润滑油、废润滑油桶属于HW08废矿物油与含矿物油废物，废物代码为900-249-08，其他生产、销售、使用过程中产生的废矿物油及沾染矿物油的废弃包装物。废润滑油采用收集桶统一收集后，送至暂存于危废暂存间，定期委托</w:t>
            </w:r>
            <w:r>
              <w:rPr>
                <w:rFonts w:hint="default" w:ascii="Times New Roman" w:hAnsi="Times New Roman" w:cs="Times New Roman"/>
                <w:lang w:eastAsia="zh-CN"/>
              </w:rPr>
              <w:t>有资质单位清运处置</w:t>
            </w:r>
            <w:r>
              <w:rPr>
                <w:rFonts w:hint="default" w:ascii="Times New Roman" w:hAnsi="Times New Roman" w:cs="Times New Roman"/>
              </w:rPr>
              <w:t>。</w:t>
            </w:r>
          </w:p>
          <w:p>
            <w:pPr>
              <w:bidi w:val="0"/>
              <w:rPr>
                <w:rFonts w:hint="default" w:ascii="Times New Roman" w:hAnsi="Times New Roman" w:cs="Times New Roman"/>
              </w:rPr>
            </w:pPr>
            <w:r>
              <w:rPr>
                <w:rFonts w:hint="default" w:ascii="Times New Roman" w:hAnsi="Times New Roman" w:cs="Times New Roman"/>
              </w:rPr>
              <w:t>运营期项目固体废物产生量见表4-</w:t>
            </w:r>
            <w:r>
              <w:rPr>
                <w:rFonts w:hint="default" w:ascii="Times New Roman" w:hAnsi="Times New Roman" w:cs="Times New Roman"/>
                <w:lang w:val="en-US" w:eastAsia="zh-CN"/>
              </w:rPr>
              <w:t>17</w:t>
            </w:r>
            <w:r>
              <w:rPr>
                <w:rFonts w:hint="default" w:ascii="Times New Roman" w:hAnsi="Times New Roman" w:cs="Times New Roman"/>
              </w:rPr>
              <w:t>。</w:t>
            </w:r>
          </w:p>
          <w:p>
            <w:pPr>
              <w:pStyle w:val="36"/>
              <w:bidi w:val="0"/>
              <w:rPr>
                <w:rFonts w:hint="default" w:ascii="Times New Roman" w:hAnsi="Times New Roman" w:cs="Times New Roman"/>
              </w:rPr>
            </w:pPr>
            <w:r>
              <w:rPr>
                <w:rFonts w:hint="default" w:ascii="Times New Roman" w:hAnsi="Times New Roman" w:cs="Times New Roman"/>
              </w:rPr>
              <w:t>表4-</w:t>
            </w:r>
            <w:r>
              <w:rPr>
                <w:rFonts w:hint="default" w:ascii="Times New Roman" w:hAnsi="Times New Roman" w:cs="Times New Roman"/>
                <w:lang w:val="en-US" w:eastAsia="zh-CN"/>
              </w:rPr>
              <w:t>17</w:t>
            </w:r>
            <w:r>
              <w:rPr>
                <w:rFonts w:hint="default" w:ascii="Times New Roman" w:hAnsi="Times New Roman" w:cs="Times New Roman"/>
              </w:rPr>
              <w:t>项目固体废物产生量一览表</w:t>
            </w:r>
          </w:p>
          <w:tbl>
            <w:tblPr>
              <w:tblStyle w:val="9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33"/>
              <w:gridCol w:w="2169"/>
              <w:gridCol w:w="878"/>
              <w:gridCol w:w="1257"/>
              <w:gridCol w:w="1000"/>
              <w:gridCol w:w="21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95" w:hRule="atLeast"/>
              </w:trPr>
              <w:tc>
                <w:tcPr>
                  <w:tcW w:w="608" w:type="pct"/>
                  <w:tcBorders>
                    <w:tl2br w:val="nil"/>
                    <w:tr2bl w:val="nil"/>
                  </w:tcBorders>
                  <w:vAlign w:val="center"/>
                </w:tcPr>
                <w:p>
                  <w:pPr>
                    <w:pStyle w:val="45"/>
                    <w:bidi w:val="0"/>
                    <w:jc w:val="center"/>
                    <w:rPr>
                      <w:rFonts w:hint="default" w:ascii="Times New Roman" w:hAnsi="Times New Roman" w:cs="Times New Roman"/>
                      <w:b/>
                      <w:bCs/>
                    </w:rPr>
                  </w:pPr>
                  <w:r>
                    <w:rPr>
                      <w:rFonts w:hint="default" w:ascii="Times New Roman" w:hAnsi="Times New Roman" w:cs="Times New Roman"/>
                      <w:b/>
                      <w:bCs/>
                    </w:rPr>
                    <w:t>类别</w:t>
                  </w:r>
                </w:p>
              </w:tc>
              <w:tc>
                <w:tcPr>
                  <w:tcW w:w="1277" w:type="pct"/>
                  <w:tcBorders>
                    <w:tl2br w:val="nil"/>
                    <w:tr2bl w:val="nil"/>
                  </w:tcBorders>
                  <w:vAlign w:val="center"/>
                </w:tcPr>
                <w:p>
                  <w:pPr>
                    <w:pStyle w:val="45"/>
                    <w:bidi w:val="0"/>
                    <w:jc w:val="center"/>
                    <w:rPr>
                      <w:rFonts w:hint="default" w:ascii="Times New Roman" w:hAnsi="Times New Roman" w:cs="Times New Roman"/>
                      <w:b/>
                      <w:bCs/>
                    </w:rPr>
                  </w:pPr>
                  <w:r>
                    <w:rPr>
                      <w:rFonts w:hint="default" w:ascii="Times New Roman" w:hAnsi="Times New Roman" w:cs="Times New Roman"/>
                      <w:b/>
                      <w:bCs/>
                    </w:rPr>
                    <w:t>名称</w:t>
                  </w:r>
                </w:p>
              </w:tc>
              <w:tc>
                <w:tcPr>
                  <w:tcW w:w="517" w:type="pct"/>
                  <w:tcBorders>
                    <w:tl2br w:val="nil"/>
                    <w:tr2bl w:val="nil"/>
                  </w:tcBorders>
                  <w:vAlign w:val="center"/>
                </w:tcPr>
                <w:p>
                  <w:pPr>
                    <w:pStyle w:val="45"/>
                    <w:bidi w:val="0"/>
                    <w:jc w:val="center"/>
                    <w:rPr>
                      <w:rFonts w:hint="default" w:ascii="Times New Roman" w:hAnsi="Times New Roman" w:cs="Times New Roman"/>
                      <w:b/>
                      <w:bCs/>
                    </w:rPr>
                  </w:pPr>
                  <w:r>
                    <w:rPr>
                      <w:rFonts w:hint="default" w:ascii="Times New Roman" w:hAnsi="Times New Roman" w:cs="Times New Roman"/>
                      <w:b/>
                      <w:bCs/>
                    </w:rPr>
                    <w:t>废物代码</w:t>
                  </w:r>
                </w:p>
              </w:tc>
              <w:tc>
                <w:tcPr>
                  <w:tcW w:w="740" w:type="pct"/>
                  <w:tcBorders>
                    <w:tl2br w:val="nil"/>
                    <w:tr2bl w:val="nil"/>
                  </w:tcBorders>
                  <w:vAlign w:val="center"/>
                </w:tcPr>
                <w:p>
                  <w:pPr>
                    <w:pStyle w:val="45"/>
                    <w:bidi w:val="0"/>
                    <w:jc w:val="center"/>
                    <w:rPr>
                      <w:rFonts w:hint="default" w:ascii="Times New Roman" w:hAnsi="Times New Roman" w:cs="Times New Roman"/>
                      <w:b/>
                      <w:bCs/>
                    </w:rPr>
                  </w:pPr>
                  <w:r>
                    <w:rPr>
                      <w:rFonts w:hint="default" w:ascii="Times New Roman" w:hAnsi="Times New Roman" w:cs="Times New Roman"/>
                      <w:b/>
                      <w:bCs/>
                    </w:rPr>
                    <w:t>危险废物编号</w:t>
                  </w:r>
                </w:p>
              </w:tc>
              <w:tc>
                <w:tcPr>
                  <w:tcW w:w="589" w:type="pct"/>
                  <w:tcBorders>
                    <w:tl2br w:val="nil"/>
                    <w:tr2bl w:val="nil"/>
                  </w:tcBorders>
                  <w:vAlign w:val="center"/>
                </w:tcPr>
                <w:p>
                  <w:pPr>
                    <w:pStyle w:val="45"/>
                    <w:bidi w:val="0"/>
                    <w:jc w:val="center"/>
                    <w:rPr>
                      <w:rFonts w:hint="default" w:ascii="Times New Roman" w:hAnsi="Times New Roman" w:cs="Times New Roman"/>
                      <w:b/>
                      <w:bCs/>
                    </w:rPr>
                  </w:pPr>
                  <w:r>
                    <w:rPr>
                      <w:rFonts w:hint="default" w:ascii="Times New Roman" w:hAnsi="Times New Roman" w:cs="Times New Roman"/>
                      <w:b/>
                      <w:bCs/>
                    </w:rPr>
                    <w:t>垃圾产</w:t>
                  </w:r>
                </w:p>
                <w:p>
                  <w:pPr>
                    <w:pStyle w:val="45"/>
                    <w:bidi w:val="0"/>
                    <w:jc w:val="center"/>
                    <w:rPr>
                      <w:rFonts w:hint="default" w:ascii="Times New Roman" w:hAnsi="Times New Roman" w:cs="Times New Roman"/>
                      <w:b/>
                      <w:bCs/>
                    </w:rPr>
                  </w:pPr>
                  <w:r>
                    <w:rPr>
                      <w:rFonts w:hint="default" w:ascii="Times New Roman" w:hAnsi="Times New Roman" w:cs="Times New Roman"/>
                      <w:b/>
                      <w:bCs/>
                    </w:rPr>
                    <w:t>生量</w:t>
                  </w:r>
                </w:p>
                <w:p>
                  <w:pPr>
                    <w:pStyle w:val="45"/>
                    <w:bidi w:val="0"/>
                    <w:jc w:val="center"/>
                    <w:rPr>
                      <w:rFonts w:hint="default" w:ascii="Times New Roman" w:hAnsi="Times New Roman" w:cs="Times New Roman"/>
                      <w:b/>
                      <w:bCs/>
                    </w:rPr>
                  </w:pPr>
                  <w:r>
                    <w:rPr>
                      <w:rFonts w:hint="default" w:ascii="Times New Roman" w:hAnsi="Times New Roman" w:cs="Times New Roman"/>
                      <w:b/>
                      <w:bCs/>
                    </w:rPr>
                    <w:t>(t/a)</w:t>
                  </w:r>
                </w:p>
              </w:tc>
              <w:tc>
                <w:tcPr>
                  <w:tcW w:w="1267" w:type="pct"/>
                  <w:tcBorders>
                    <w:tl2br w:val="nil"/>
                    <w:tr2bl w:val="nil"/>
                  </w:tcBorders>
                  <w:vAlign w:val="center"/>
                </w:tcPr>
                <w:p>
                  <w:pPr>
                    <w:pStyle w:val="45"/>
                    <w:bidi w:val="0"/>
                    <w:jc w:val="center"/>
                    <w:rPr>
                      <w:rFonts w:hint="default" w:ascii="Times New Roman" w:hAnsi="Times New Roman" w:cs="Times New Roman"/>
                      <w:b/>
                      <w:bCs/>
                    </w:rPr>
                  </w:pPr>
                  <w:r>
                    <w:rPr>
                      <w:rFonts w:hint="default" w:ascii="Times New Roman" w:hAnsi="Times New Roman" w:cs="Times New Roman"/>
                      <w:b/>
                      <w:bCs/>
                    </w:rPr>
                    <w:t>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08" w:type="pct"/>
                  <w:vMerge w:val="restar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一般固废</w:t>
                  </w:r>
                </w:p>
              </w:tc>
              <w:tc>
                <w:tcPr>
                  <w:tcW w:w="127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化粪池污泥</w:t>
                  </w:r>
                </w:p>
              </w:tc>
              <w:tc>
                <w:tcPr>
                  <w:tcW w:w="517" w:type="pct"/>
                  <w:vMerge w:val="restar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99</w:t>
                  </w:r>
                </w:p>
              </w:tc>
              <w:tc>
                <w:tcPr>
                  <w:tcW w:w="740" w:type="pct"/>
                  <w:vMerge w:val="restar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900-999-99</w:t>
                  </w:r>
                </w:p>
              </w:tc>
              <w:tc>
                <w:tcPr>
                  <w:tcW w:w="589"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1.2t/a</w:t>
                  </w:r>
                </w:p>
              </w:tc>
              <w:tc>
                <w:tcPr>
                  <w:tcW w:w="1267" w:type="pct"/>
                  <w:vMerge w:val="restart"/>
                  <w:tcBorders>
                    <w:tl2br w:val="nil"/>
                    <w:tr2bl w:val="nil"/>
                  </w:tcBorders>
                  <w:vAlign w:val="center"/>
                </w:tcPr>
                <w:p>
                  <w:pPr>
                    <w:pStyle w:val="45"/>
                    <w:bidi w:val="0"/>
                    <w:jc w:val="center"/>
                    <w:rPr>
                      <w:rFonts w:hint="default" w:ascii="Times New Roman" w:hAnsi="Times New Roman" w:cs="Times New Roman"/>
                    </w:rPr>
                  </w:pPr>
                </w:p>
                <w:p>
                  <w:pPr>
                    <w:pStyle w:val="45"/>
                    <w:bidi w:val="0"/>
                    <w:jc w:val="center"/>
                    <w:rPr>
                      <w:rFonts w:hint="default" w:ascii="Times New Roman" w:hAnsi="Times New Roman" w:cs="Times New Roman"/>
                    </w:rPr>
                  </w:pPr>
                  <w:r>
                    <w:rPr>
                      <w:rFonts w:hint="default" w:ascii="Times New Roman" w:hAnsi="Times New Roman" w:cs="Times New Roman"/>
                    </w:rPr>
                    <w:t>交与云南鑫成鹏高分子科技有限公司一同委托</w:t>
                  </w:r>
                </w:p>
                <w:p>
                  <w:pPr>
                    <w:pStyle w:val="45"/>
                    <w:bidi w:val="0"/>
                    <w:jc w:val="center"/>
                    <w:rPr>
                      <w:rFonts w:hint="default" w:ascii="Times New Roman" w:hAnsi="Times New Roman" w:cs="Times New Roman"/>
                    </w:rPr>
                  </w:pPr>
                  <w:r>
                    <w:rPr>
                      <w:rFonts w:hint="default" w:ascii="Times New Roman" w:hAnsi="Times New Roman" w:cs="Times New Roman"/>
                    </w:rPr>
                    <w:t>环卫部门清运处置。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608"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1277" w:type="pct"/>
                  <w:tcBorders>
                    <w:tl2br w:val="nil"/>
                    <w:tr2bl w:val="nil"/>
                  </w:tcBorders>
                  <w:vAlign w:val="center"/>
                </w:tcPr>
                <w:p>
                  <w:pPr>
                    <w:pStyle w:val="45"/>
                    <w:bidi w:val="0"/>
                    <w:jc w:val="center"/>
                    <w:rPr>
                      <w:rFonts w:hint="default" w:ascii="Times New Roman" w:hAnsi="Times New Roman" w:cs="Times New Roman"/>
                    </w:rPr>
                  </w:pPr>
                  <w:r>
                    <w:rPr>
                      <w:rFonts w:hint="eastAsia" w:ascii="Times New Roman" w:hAnsi="Times New Roman" w:cs="Times New Roman"/>
                      <w:lang w:eastAsia="zh-CN"/>
                    </w:rPr>
                    <w:t>油水分离器</w:t>
                  </w:r>
                  <w:r>
                    <w:rPr>
                      <w:rFonts w:hint="default" w:ascii="Times New Roman" w:hAnsi="Times New Roman" w:cs="Times New Roman"/>
                    </w:rPr>
                    <w:t>油污</w:t>
                  </w:r>
                </w:p>
              </w:tc>
              <w:tc>
                <w:tcPr>
                  <w:tcW w:w="517"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740"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589"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0.</w:t>
                  </w:r>
                  <w:r>
                    <w:rPr>
                      <w:rFonts w:hint="default" w:ascii="Times New Roman" w:hAnsi="Times New Roman" w:cs="Times New Roman"/>
                      <w:lang w:val="en-US" w:eastAsia="zh-CN"/>
                    </w:rPr>
                    <w:t>1</w:t>
                  </w:r>
                  <w:r>
                    <w:rPr>
                      <w:rFonts w:hint="default" w:ascii="Times New Roman" w:hAnsi="Times New Roman" w:cs="Times New Roman"/>
                    </w:rPr>
                    <w:t>t/a</w:t>
                  </w:r>
                </w:p>
              </w:tc>
              <w:tc>
                <w:tcPr>
                  <w:tcW w:w="1267" w:type="pct"/>
                  <w:vMerge w:val="continue"/>
                  <w:tcBorders>
                    <w:tl2br w:val="nil"/>
                    <w:tr2bl w:val="nil"/>
                  </w:tcBorders>
                  <w:vAlign w:val="center"/>
                </w:tcPr>
                <w:p>
                  <w:pPr>
                    <w:pStyle w:val="45"/>
                    <w:bidi w:val="0"/>
                    <w:jc w:val="cente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608"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127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餐饮垃圾</w:t>
                  </w:r>
                </w:p>
              </w:tc>
              <w:tc>
                <w:tcPr>
                  <w:tcW w:w="517"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740"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589"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4.5t/a</w:t>
                  </w:r>
                </w:p>
              </w:tc>
              <w:tc>
                <w:tcPr>
                  <w:tcW w:w="1267" w:type="pct"/>
                  <w:vMerge w:val="continue"/>
                  <w:tcBorders>
                    <w:tl2br w:val="nil"/>
                    <w:tr2bl w:val="nil"/>
                  </w:tcBorders>
                  <w:vAlign w:val="center"/>
                </w:tcPr>
                <w:p>
                  <w:pPr>
                    <w:pStyle w:val="45"/>
                    <w:bidi w:val="0"/>
                    <w:jc w:val="cente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 w:hRule="atLeast"/>
              </w:trPr>
              <w:tc>
                <w:tcPr>
                  <w:tcW w:w="608"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127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生活垃圾</w:t>
                  </w:r>
                </w:p>
              </w:tc>
              <w:tc>
                <w:tcPr>
                  <w:tcW w:w="517"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740"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589"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4.5t/a</w:t>
                  </w:r>
                </w:p>
              </w:tc>
              <w:tc>
                <w:tcPr>
                  <w:tcW w:w="1267" w:type="pct"/>
                  <w:vMerge w:val="continue"/>
                  <w:tcBorders>
                    <w:tl2br w:val="nil"/>
                    <w:tr2bl w:val="nil"/>
                  </w:tcBorders>
                  <w:vAlign w:val="center"/>
                </w:tcPr>
                <w:p>
                  <w:pPr>
                    <w:pStyle w:val="45"/>
                    <w:bidi w:val="0"/>
                    <w:jc w:val="cente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8" w:hRule="atLeast"/>
              </w:trPr>
              <w:tc>
                <w:tcPr>
                  <w:tcW w:w="608"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127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废包装固废</w:t>
                  </w:r>
                </w:p>
              </w:tc>
              <w:tc>
                <w:tcPr>
                  <w:tcW w:w="51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07</w:t>
                  </w:r>
                </w:p>
              </w:tc>
              <w:tc>
                <w:tcPr>
                  <w:tcW w:w="740"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223-009-07</w:t>
                  </w:r>
                </w:p>
              </w:tc>
              <w:tc>
                <w:tcPr>
                  <w:tcW w:w="589"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1t/a</w:t>
                  </w:r>
                </w:p>
              </w:tc>
              <w:tc>
                <w:tcPr>
                  <w:tcW w:w="126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外售废品回收站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608"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127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废玻璃边角料</w:t>
                  </w:r>
                </w:p>
              </w:tc>
              <w:tc>
                <w:tcPr>
                  <w:tcW w:w="51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08</w:t>
                  </w:r>
                </w:p>
              </w:tc>
              <w:tc>
                <w:tcPr>
                  <w:tcW w:w="740" w:type="pct"/>
                  <w:vMerge w:val="restar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300-001-08</w:t>
                  </w:r>
                </w:p>
              </w:tc>
              <w:tc>
                <w:tcPr>
                  <w:tcW w:w="589"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1t/a</w:t>
                  </w:r>
                </w:p>
              </w:tc>
              <w:tc>
                <w:tcPr>
                  <w:tcW w:w="1267" w:type="pct"/>
                  <w:vMerge w:val="restar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外售废品回收站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8"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127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玻璃次品</w:t>
                  </w:r>
                </w:p>
              </w:tc>
              <w:tc>
                <w:tcPr>
                  <w:tcW w:w="51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08</w:t>
                  </w:r>
                </w:p>
              </w:tc>
              <w:tc>
                <w:tcPr>
                  <w:tcW w:w="740"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589"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30t/a</w:t>
                  </w:r>
                </w:p>
              </w:tc>
              <w:tc>
                <w:tcPr>
                  <w:tcW w:w="1267" w:type="pct"/>
                  <w:vMerge w:val="continue"/>
                  <w:tcBorders>
                    <w:tl2br w:val="nil"/>
                    <w:tr2bl w:val="nil"/>
                  </w:tcBorders>
                  <w:vAlign w:val="center"/>
                </w:tcPr>
                <w:p>
                  <w:pPr>
                    <w:pStyle w:val="45"/>
                    <w:bidi w:val="0"/>
                    <w:jc w:val="cente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08" w:type="pct"/>
                  <w:vMerge w:val="restar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危险固废</w:t>
                  </w:r>
                </w:p>
              </w:tc>
              <w:tc>
                <w:tcPr>
                  <w:tcW w:w="127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废润滑油</w:t>
                  </w:r>
                </w:p>
              </w:tc>
              <w:tc>
                <w:tcPr>
                  <w:tcW w:w="517" w:type="pct"/>
                  <w:vMerge w:val="restar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HW08</w:t>
                  </w:r>
                </w:p>
              </w:tc>
              <w:tc>
                <w:tcPr>
                  <w:tcW w:w="740" w:type="pct"/>
                  <w:vMerge w:val="restar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900-249-08</w:t>
                  </w:r>
                </w:p>
              </w:tc>
              <w:tc>
                <w:tcPr>
                  <w:tcW w:w="589" w:type="pct"/>
                  <w:vMerge w:val="restar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0.5t/a</w:t>
                  </w:r>
                </w:p>
              </w:tc>
              <w:tc>
                <w:tcPr>
                  <w:tcW w:w="1267" w:type="pct"/>
                  <w:vMerge w:val="restart"/>
                  <w:tcBorders>
                    <w:tl2br w:val="nil"/>
                    <w:tr2bl w:val="nil"/>
                  </w:tcBorders>
                  <w:vAlign w:val="center"/>
                </w:tcPr>
                <w:p>
                  <w:pPr>
                    <w:pStyle w:val="45"/>
                    <w:bidi w:val="0"/>
                    <w:jc w:val="center"/>
                    <w:rPr>
                      <w:rFonts w:hint="default" w:ascii="Times New Roman" w:hAnsi="Times New Roman" w:eastAsia="宋体" w:cs="Times New Roman"/>
                      <w:lang w:eastAsia="zh-CN"/>
                    </w:rPr>
                  </w:pPr>
                  <w:r>
                    <w:rPr>
                      <w:rFonts w:hint="default" w:ascii="Times New Roman" w:hAnsi="Times New Roman" w:cs="Times New Roman"/>
                      <w:lang w:eastAsia="zh-CN"/>
                    </w:rPr>
                    <w:t>有资质单位清运处置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608"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127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废润滑油桶</w:t>
                  </w:r>
                </w:p>
              </w:tc>
              <w:tc>
                <w:tcPr>
                  <w:tcW w:w="517"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740"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589"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1267" w:type="pct"/>
                  <w:vMerge w:val="continue"/>
                  <w:tcBorders>
                    <w:tl2br w:val="nil"/>
                    <w:tr2bl w:val="nil"/>
                  </w:tcBorders>
                  <w:vAlign w:val="center"/>
                </w:tcPr>
                <w:p>
                  <w:pPr>
                    <w:pStyle w:val="45"/>
                    <w:bidi w:val="0"/>
                    <w:jc w:val="cente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8"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127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废活性炭</w:t>
                  </w:r>
                </w:p>
              </w:tc>
              <w:tc>
                <w:tcPr>
                  <w:tcW w:w="51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HW49</w:t>
                  </w:r>
                </w:p>
              </w:tc>
              <w:tc>
                <w:tcPr>
                  <w:tcW w:w="740"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900-039-49</w:t>
                  </w:r>
                </w:p>
              </w:tc>
              <w:tc>
                <w:tcPr>
                  <w:tcW w:w="589"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lang w:val="en-US" w:eastAsia="zh-CN"/>
                    </w:rPr>
                    <w:t>12.555</w:t>
                  </w:r>
                  <w:r>
                    <w:rPr>
                      <w:rFonts w:hint="default" w:ascii="Times New Roman" w:hAnsi="Times New Roman" w:cs="Times New Roman"/>
                    </w:rPr>
                    <w:t>t/a</w:t>
                  </w:r>
                </w:p>
              </w:tc>
              <w:tc>
                <w:tcPr>
                  <w:tcW w:w="1267" w:type="pct"/>
                  <w:vMerge w:val="continue"/>
                  <w:tcBorders>
                    <w:tl2br w:val="nil"/>
                    <w:tr2bl w:val="nil"/>
                  </w:tcBorders>
                  <w:vAlign w:val="center"/>
                </w:tcPr>
                <w:p>
                  <w:pPr>
                    <w:pStyle w:val="45"/>
                    <w:bidi w:val="0"/>
                    <w:jc w:val="cente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8" w:type="pct"/>
                  <w:vMerge w:val="continue"/>
                  <w:tcBorders>
                    <w:tl2br w:val="nil"/>
                    <w:tr2bl w:val="nil"/>
                  </w:tcBorders>
                  <w:vAlign w:val="center"/>
                </w:tcPr>
                <w:p>
                  <w:pPr>
                    <w:pStyle w:val="45"/>
                    <w:bidi w:val="0"/>
                    <w:jc w:val="center"/>
                    <w:rPr>
                      <w:rFonts w:hint="default" w:ascii="Times New Roman" w:hAnsi="Times New Roman" w:cs="Times New Roman"/>
                    </w:rPr>
                  </w:pPr>
                </w:p>
              </w:tc>
              <w:tc>
                <w:tcPr>
                  <w:tcW w:w="127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lang w:val="en-US" w:eastAsia="zh-CN"/>
                    </w:rPr>
                    <w:t>废胶桶</w:t>
                  </w:r>
                </w:p>
              </w:tc>
              <w:tc>
                <w:tcPr>
                  <w:tcW w:w="517"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HW49</w:t>
                  </w:r>
                </w:p>
              </w:tc>
              <w:tc>
                <w:tcPr>
                  <w:tcW w:w="740"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900-041-49</w:t>
                  </w:r>
                </w:p>
              </w:tc>
              <w:tc>
                <w:tcPr>
                  <w:tcW w:w="589" w:type="pct"/>
                  <w:tcBorders>
                    <w:tl2br w:val="nil"/>
                    <w:tr2bl w:val="nil"/>
                  </w:tcBorders>
                  <w:vAlign w:val="center"/>
                </w:tcPr>
                <w:p>
                  <w:pPr>
                    <w:pStyle w:val="45"/>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3.75</w:t>
                  </w:r>
                </w:p>
              </w:tc>
              <w:tc>
                <w:tcPr>
                  <w:tcW w:w="1267" w:type="pct"/>
                  <w:vMerge w:val="continue"/>
                  <w:tcBorders>
                    <w:tl2br w:val="nil"/>
                    <w:tr2bl w:val="nil"/>
                  </w:tcBorders>
                  <w:vAlign w:val="center"/>
                </w:tcPr>
                <w:p>
                  <w:pPr>
                    <w:pStyle w:val="45"/>
                    <w:bidi w:val="0"/>
                    <w:jc w:val="center"/>
                    <w:rPr>
                      <w:rFonts w:hint="default" w:ascii="Times New Roman" w:hAnsi="Times New Roman" w:cs="Times New Roman"/>
                    </w:rPr>
                  </w:pPr>
                </w:p>
              </w:tc>
            </w:tr>
          </w:tbl>
          <w:p>
            <w:pPr>
              <w:bidi w:val="0"/>
              <w:rPr>
                <w:rFonts w:hint="default" w:ascii="Times New Roman" w:hAnsi="Times New Roman" w:cs="Times New Roman"/>
                <w:b/>
                <w:bCs/>
              </w:rPr>
            </w:pPr>
            <w:r>
              <w:rPr>
                <w:rFonts w:hint="default" w:ascii="Times New Roman" w:hAnsi="Times New Roman" w:cs="Times New Roman"/>
                <w:b/>
                <w:bCs/>
              </w:rPr>
              <w:t>（2）、一般固废环境影响分析和保护措施</w:t>
            </w:r>
          </w:p>
          <w:p>
            <w:pPr>
              <w:bidi w:val="0"/>
              <w:rPr>
                <w:rFonts w:hint="default" w:ascii="Times New Roman" w:hAnsi="Times New Roman" w:cs="Times New Roman"/>
              </w:rPr>
            </w:pPr>
            <w:r>
              <w:rPr>
                <w:rFonts w:hint="default" w:ascii="Times New Roman" w:hAnsi="Times New Roman" w:cs="Times New Roman"/>
              </w:rPr>
              <w:t>一般工业固废临时堆放场根据《一般工业固体废物贮存和填埋污染控制标准》（GB18599-2020）中的要求规范化建设，固废临时贮存场满足如下要求：</w:t>
            </w:r>
          </w:p>
          <w:p>
            <w:pPr>
              <w:bidi w:val="0"/>
              <w:rPr>
                <w:rFonts w:hint="default" w:ascii="Times New Roman" w:hAnsi="Times New Roman" w:cs="Times New Roman"/>
              </w:rPr>
            </w:pPr>
            <w:r>
              <w:rPr>
                <w:rFonts w:hint="default" w:ascii="Times New Roman" w:hAnsi="Times New Roman" w:cs="Times New Roman"/>
              </w:rPr>
              <w:t>①临时堆放场应选在防渗性能好的地基上天然基础层地表距地下水位的距离不得小于1.5m。临时堆放场四周应建有围墙，防止固废流失以及造成粉尘污染。</w:t>
            </w:r>
          </w:p>
          <w:p>
            <w:pPr>
              <w:bidi w:val="0"/>
              <w:rPr>
                <w:rFonts w:hint="default" w:ascii="Times New Roman" w:hAnsi="Times New Roman" w:cs="Times New Roman"/>
              </w:rPr>
            </w:pPr>
            <w:r>
              <w:rPr>
                <w:rFonts w:hint="default" w:ascii="Times New Roman" w:hAnsi="Times New Roman" w:cs="Times New Roman"/>
              </w:rPr>
              <w:t>②临时堆放场应建有防雨淋、防渗透措施。本项目储存在钢结构仓库内，地面进行硬化，可以满足防雨淋、防渗透要求。</w:t>
            </w:r>
          </w:p>
          <w:p>
            <w:pPr>
              <w:bidi w:val="0"/>
              <w:rPr>
                <w:rFonts w:hint="default" w:ascii="Times New Roman" w:hAnsi="Times New Roman" w:cs="Times New Roman"/>
              </w:rPr>
            </w:pPr>
            <w:r>
              <w:rPr>
                <w:rFonts w:hint="default" w:ascii="Times New Roman" w:hAnsi="Times New Roman" w:cs="Times New Roman"/>
              </w:rPr>
              <w:t>③为了便于管理，临时堆放场应《环境保护图形标识—固体废物贮存（处置）场》（按GB15562.2-1995）设置环境保护图形标志。</w:t>
            </w:r>
          </w:p>
          <w:p>
            <w:pPr>
              <w:bidi w:val="0"/>
              <w:rPr>
                <w:rFonts w:hint="default" w:ascii="Times New Roman" w:hAnsi="Times New Roman" w:cs="Times New Roman"/>
              </w:rPr>
            </w:pPr>
            <w:r>
              <w:rPr>
                <w:rFonts w:hint="default" w:ascii="Times New Roman" w:hAnsi="Times New Roman" w:cs="Times New Roman"/>
              </w:rPr>
              <w:t>企业在生产过程中，应加强一般固废库的管理，定点收集堆存，并及时处理，不会对环境造成不利影响。</w:t>
            </w:r>
          </w:p>
          <w:p>
            <w:pPr>
              <w:bidi w:val="0"/>
              <w:rPr>
                <w:rFonts w:hint="default" w:ascii="Times New Roman" w:hAnsi="Times New Roman" w:cs="Times New Roman"/>
                <w:b/>
                <w:bCs/>
              </w:rPr>
            </w:pPr>
            <w:r>
              <w:rPr>
                <w:rFonts w:hint="default" w:ascii="Times New Roman" w:hAnsi="Times New Roman" w:cs="Times New Roman"/>
                <w:b/>
                <w:bCs/>
              </w:rPr>
              <w:t>（3）、危险固废环境影响分析和保护措施</w:t>
            </w:r>
          </w:p>
          <w:p>
            <w:pPr>
              <w:bidi w:val="0"/>
              <w:rPr>
                <w:rFonts w:hint="default" w:ascii="Times New Roman" w:hAnsi="Times New Roman" w:cs="Times New Roman"/>
                <w:b/>
                <w:bCs/>
              </w:rPr>
            </w:pPr>
            <w:r>
              <w:rPr>
                <w:rFonts w:hint="default" w:ascii="Times New Roman" w:hAnsi="Times New Roman" w:cs="Times New Roman"/>
                <w:b/>
                <w:bCs/>
              </w:rPr>
              <w:t>1）保护措施</w:t>
            </w:r>
          </w:p>
          <w:p>
            <w:pPr>
              <w:bidi w:val="0"/>
              <w:rPr>
                <w:rFonts w:hint="default" w:ascii="Times New Roman" w:hAnsi="Times New Roman" w:cs="Times New Roman"/>
              </w:rPr>
            </w:pPr>
            <w:r>
              <w:rPr>
                <w:rFonts w:hint="default" w:ascii="Times New Roman" w:hAnsi="Times New Roman" w:cs="Times New Roman"/>
              </w:rPr>
              <w:t>企业应严格按照《危险废物储存污染控制标准》（</w:t>
            </w:r>
            <w:r>
              <w:rPr>
                <w:rFonts w:hint="eastAsia" w:cs="Times New Roman"/>
                <w:lang w:eastAsia="zh-CN"/>
              </w:rPr>
              <w:t>GB18597-2023</w:t>
            </w:r>
            <w:r>
              <w:rPr>
                <w:rFonts w:hint="default" w:ascii="Times New Roman" w:hAnsi="Times New Roman" w:cs="Times New Roman"/>
              </w:rPr>
              <w:t>）建设危险废物暂存间。本项目危险废物在厂内贮存时，，执行《危险废物贮存污染控制标准》（</w:t>
            </w:r>
            <w:r>
              <w:rPr>
                <w:rFonts w:hint="eastAsia" w:cs="Times New Roman"/>
                <w:lang w:eastAsia="zh-CN"/>
              </w:rPr>
              <w:t>GB18597-2023</w:t>
            </w:r>
            <w:r>
              <w:rPr>
                <w:rFonts w:hint="default" w:ascii="Times New Roman" w:hAnsi="Times New Roman" w:cs="Times New Roman"/>
              </w:rPr>
              <w:t>）以及环保部2013年第36号修改清单中相关规定，具体措施如下：</w:t>
            </w:r>
          </w:p>
          <w:p>
            <w:pPr>
              <w:bidi w:val="0"/>
              <w:rPr>
                <w:rFonts w:hint="default" w:ascii="Times New Roman" w:hAnsi="Times New Roman" w:cs="Times New Roman"/>
              </w:rPr>
            </w:pPr>
            <w:r>
              <w:rPr>
                <w:rFonts w:hint="default" w:ascii="Times New Roman" w:hAnsi="Times New Roman" w:cs="Times New Roman"/>
              </w:rPr>
              <w:t>①危废库应建有堵截泄漏的裙脚，地面与裙脚要用坚固、防渗材料建造，应有隔离设施和防风、防晒、防雨设施；</w:t>
            </w:r>
          </w:p>
          <w:p>
            <w:pPr>
              <w:bidi w:val="0"/>
              <w:rPr>
                <w:rFonts w:hint="default" w:ascii="Times New Roman" w:hAnsi="Times New Roman" w:cs="Times New Roman"/>
              </w:rPr>
            </w:pPr>
            <w:r>
              <w:rPr>
                <w:rFonts w:hint="default" w:ascii="Times New Roman" w:hAnsi="Times New Roman" w:cs="Times New Roman"/>
              </w:rPr>
              <w:t>②贮存设施基础必须做防渗处理，防渗层为至少1m厚粘土层（渗透系数≤10-7cm/s），或2mm厚高密度聚乙烯，或至少2mm厚的其它人工材料，渗透系数≤10-10cm/s。</w:t>
            </w:r>
          </w:p>
          <w:p>
            <w:pPr>
              <w:bidi w:val="0"/>
              <w:rPr>
                <w:rFonts w:hint="default" w:ascii="Times New Roman" w:hAnsi="Times New Roman" w:cs="Times New Roman"/>
              </w:rPr>
            </w:pPr>
            <w:r>
              <w:rPr>
                <w:rFonts w:hint="default" w:ascii="Times New Roman" w:hAnsi="Times New Roman" w:cs="Times New Roman"/>
              </w:rPr>
              <w:t>③盛装危险废物的容器应根据危险废物的不同特性而设计，采用不易破损、变形、老化且能有效地防止渗漏、扩散的装置，危险废物包装执行《危险货物运输包装通用技术条件》（GB12463-2009）、《危险货物运输包装标志》（GB190-2009）；</w:t>
            </w:r>
          </w:p>
          <w:p>
            <w:pPr>
              <w:bidi w:val="0"/>
              <w:rPr>
                <w:rFonts w:hint="default" w:ascii="Times New Roman" w:hAnsi="Times New Roman" w:cs="Times New Roman"/>
              </w:rPr>
            </w:pPr>
            <w:r>
              <w:rPr>
                <w:rFonts w:hint="default" w:ascii="Times New Roman" w:hAnsi="Times New Roman" w:cs="Times New Roman"/>
              </w:rPr>
              <w:t>④存放危废为液体的仓库内必须有泄漏液体收集装置（例如托盘、导流沟、收集池，导流沟、收集池四周壁及底部同样要求防腐防渗）；由于项目危废种类较多，需要在危废间内设置不同区域做围堰。围堰高度不低于0.5m，围堰总容积不低于1m³,如发生泄漏，废润滑油泄漏出来的液体受到围堰的阻隔在围堰内暂存。并委托有资质的单位处置。</w:t>
            </w:r>
          </w:p>
          <w:p>
            <w:pPr>
              <w:bidi w:val="0"/>
              <w:rPr>
                <w:rFonts w:hint="default" w:ascii="Times New Roman" w:hAnsi="Times New Roman" w:cs="Times New Roman"/>
              </w:rPr>
            </w:pPr>
            <w:r>
              <w:rPr>
                <w:rFonts w:hint="default" w:ascii="Times New Roman" w:hAnsi="Times New Roman" w:cs="Times New Roman"/>
              </w:rPr>
              <w:t>⑤装载液体、半固体危险废物的容器内须留足够空间，容器顶部与液体表面之间保留100毫米以上的空间。用以存放装载液体、半固体危险废物容器的地方，必须有耐腐蚀的硬化地面，且表面无裂隙。</w:t>
            </w:r>
          </w:p>
          <w:p>
            <w:pPr>
              <w:bidi w:val="0"/>
              <w:rPr>
                <w:rFonts w:hint="default" w:ascii="Times New Roman" w:hAnsi="Times New Roman" w:cs="Times New Roman"/>
              </w:rPr>
            </w:pPr>
            <w:r>
              <w:rPr>
                <w:rFonts w:hint="default" w:ascii="Times New Roman" w:hAnsi="Times New Roman" w:cs="Times New Roman"/>
              </w:rPr>
              <w:t>⑥危险废物要注重“四防”，即防风、防雨、防晒、防渗漏，危废库建设时应采用混凝土、砖或经防腐处理的钢材等作为建材材料建成的相对封闭式场所，并设通风口；外部配套建设雨水导排系统，防止雨水进入危废暂存库内。</w:t>
            </w:r>
          </w:p>
          <w:p>
            <w:pPr>
              <w:bidi w:val="0"/>
              <w:rPr>
                <w:rFonts w:hint="default" w:ascii="Times New Roman" w:hAnsi="Times New Roman" w:cs="Times New Roman"/>
              </w:rPr>
            </w:pPr>
            <w:r>
              <w:rPr>
                <w:rFonts w:hint="default" w:ascii="Times New Roman" w:hAnsi="Times New Roman" w:cs="Times New Roman"/>
              </w:rPr>
              <w:t>⑦危废仓库门上要张贴包含所有危废的标识、标牌，仓库内对应墙上有标志标识，无法装入常用容器的危险废物可用防漏胶袋等盛装，包装桶、袋上有标签，危废仓库管理责任制要上墙。</w:t>
            </w:r>
          </w:p>
          <w:p>
            <w:pPr>
              <w:bidi w:val="0"/>
              <w:rPr>
                <w:rFonts w:hint="default" w:ascii="Times New Roman" w:hAnsi="Times New Roman" w:cs="Times New Roman"/>
              </w:rPr>
            </w:pPr>
            <w:r>
              <w:rPr>
                <w:rFonts w:hint="default" w:ascii="Times New Roman" w:hAnsi="Times New Roman" w:cs="Times New Roman"/>
              </w:rPr>
              <w:t>⑧危废仓库需上锁防盗，制定严格的暂存保管措施，专人负责。</w:t>
            </w:r>
          </w:p>
          <w:p>
            <w:pPr>
              <w:bidi w:val="0"/>
              <w:rPr>
                <w:rFonts w:hint="default" w:ascii="Times New Roman" w:hAnsi="Times New Roman" w:cs="Times New Roman"/>
              </w:rPr>
            </w:pPr>
            <w:r>
              <w:rPr>
                <w:rFonts w:hint="default" w:ascii="Times New Roman" w:hAnsi="Times New Roman" w:cs="Times New Roman"/>
              </w:rPr>
              <w:t>⑨危险废物定期交由有资质的处置单位接收处理，转运过程严格按照有关规定，实行联单制度。</w:t>
            </w:r>
          </w:p>
          <w:p>
            <w:pPr>
              <w:bidi w:val="0"/>
              <w:rPr>
                <w:rFonts w:hint="default" w:ascii="Times New Roman" w:hAnsi="Times New Roman" w:cs="Times New Roman"/>
              </w:rPr>
            </w:pPr>
            <w:r>
              <w:rPr>
                <w:rFonts w:hint="default" w:ascii="Times New Roman" w:hAnsi="Times New Roman" w:cs="Times New Roman"/>
              </w:rPr>
              <w:t>⑩不相容的危险废物必须分开存放，并设有隔离间隔断。（贮存危险废物，必须按照危险废物特性分类进行。禁止混合收集、贮存、运输、处置性质不相容而未经安全性处置的危险废物）</w:t>
            </w:r>
          </w:p>
          <w:p>
            <w:pPr>
              <w:bidi w:val="0"/>
              <w:rPr>
                <w:rFonts w:hint="default" w:ascii="Times New Roman" w:hAnsi="Times New Roman" w:cs="Times New Roman"/>
              </w:rPr>
            </w:pPr>
            <w:r>
              <w:rPr>
                <w:rFonts w:hint="default" w:ascii="Times New Roman" w:hAnsi="Times New Roman" w:cs="Times New Roman"/>
              </w:rPr>
              <w:t>采取上述措施后，能够确保本项目危险废物在厂内贮存时得到有效的处置，对环境影响较小。</w:t>
            </w:r>
          </w:p>
          <w:p>
            <w:pPr>
              <w:bidi w:val="0"/>
              <w:rPr>
                <w:rFonts w:hint="default" w:ascii="Times New Roman" w:hAnsi="Times New Roman" w:cs="Times New Roman"/>
                <w:b/>
                <w:bCs/>
              </w:rPr>
            </w:pPr>
            <w:r>
              <w:rPr>
                <w:rFonts w:hint="default" w:ascii="Times New Roman" w:hAnsi="Times New Roman" w:cs="Times New Roman"/>
                <w:b/>
                <w:bCs/>
              </w:rPr>
              <w:t>2）危险废物运输及转移过程环境影响分析</w:t>
            </w:r>
          </w:p>
          <w:p>
            <w:pPr>
              <w:bidi w:val="0"/>
              <w:rPr>
                <w:rFonts w:hint="default" w:ascii="Times New Roman" w:hAnsi="Times New Roman" w:cs="Times New Roman"/>
              </w:rPr>
            </w:pPr>
            <w:r>
              <w:rPr>
                <w:rFonts w:hint="default" w:ascii="Times New Roman" w:hAnsi="Times New Roman" w:cs="Times New Roman"/>
              </w:rPr>
              <w:t>危险废物外运时严格按照国家环境保护总局令第5号文件《危险废物转移联单管理办法》的相关规定报批危险废物转移计划，转移危险废物时按照规定填报危险废物转移联单，并向危险废物移出地和接受地的县级以上地方人民政府环境保护行政主管部门报告。运输危险废物的人员接受专业培训经考核合格后从事运输危险废物的工作；运输危险废物的资质单位应当制定在发生意外事故时采取的应急措施和防范措施方可运输；运输时，发生突发性事故必须立即采取措施消除或者减轻对环境的污染危害，及时通报给附近的单位和居民，并向事故发生地县级以上人民政府环境保护行政主管部门和有关部门报告，接受调查处理。运输过程中做到密闭，沿途不抛洒，应有明显的标志，并有防雨、防晒等设施。运输路线按照主管部门制定路线进行运输，同时应配备全球卫星定位和事故报警装置。</w:t>
            </w:r>
          </w:p>
          <w:p>
            <w:pPr>
              <w:bidi w:val="0"/>
              <w:rPr>
                <w:rFonts w:hint="default" w:ascii="Times New Roman" w:hAnsi="Times New Roman" w:cs="Times New Roman"/>
              </w:rPr>
            </w:pPr>
            <w:r>
              <w:rPr>
                <w:rFonts w:hint="default" w:ascii="Times New Roman" w:hAnsi="Times New Roman" w:cs="Times New Roman"/>
              </w:rPr>
              <w:t>综上所述，项目运输过程做好相关工作对外环境的影响是可以控制的。</w:t>
            </w:r>
          </w:p>
          <w:p>
            <w:pPr>
              <w:bidi w:val="0"/>
              <w:rPr>
                <w:rFonts w:hint="default" w:ascii="Times New Roman" w:hAnsi="Times New Roman" w:cs="Times New Roman"/>
              </w:rPr>
            </w:pPr>
            <w:r>
              <w:rPr>
                <w:rFonts w:hint="default" w:ascii="Times New Roman" w:hAnsi="Times New Roman" w:cs="Times New Roman"/>
              </w:rPr>
              <w:t>环评要求危险废物应及时转运，废物的转运过程中应封闭，以防散落，转运车辆应加盖</w:t>
            </w:r>
            <w:r>
              <w:rPr>
                <w:rFonts w:hint="eastAsia" w:cs="Times New Roman"/>
                <w:lang w:eastAsia="zh-CN"/>
              </w:rPr>
              <w:t>篷布</w:t>
            </w:r>
            <w:r>
              <w:rPr>
                <w:rFonts w:hint="default" w:ascii="Times New Roman" w:hAnsi="Times New Roman" w:cs="Times New Roman"/>
              </w:rPr>
              <w:t>，以防散入路面。危险废物的内部转运应综合考虑厂区的实际情况确定转运路线，尽量避开生活区和办公区；危险废物内部转运应采用专用的工具。</w:t>
            </w:r>
          </w:p>
          <w:p>
            <w:pPr>
              <w:bidi w:val="0"/>
              <w:rPr>
                <w:rFonts w:hint="default" w:ascii="Times New Roman" w:hAnsi="Times New Roman" w:cs="Times New Roman"/>
                <w:b/>
                <w:bCs/>
              </w:rPr>
            </w:pPr>
            <w:r>
              <w:rPr>
                <w:rFonts w:hint="default" w:ascii="Times New Roman" w:hAnsi="Times New Roman" w:cs="Times New Roman"/>
                <w:b/>
                <w:bCs/>
              </w:rPr>
              <w:t>（4）、措施设置的可行性分析</w:t>
            </w:r>
          </w:p>
          <w:p>
            <w:pPr>
              <w:bidi w:val="0"/>
              <w:rPr>
                <w:rFonts w:hint="default" w:ascii="Times New Roman" w:hAnsi="Times New Roman" w:cs="Times New Roman"/>
              </w:rPr>
            </w:pPr>
            <w:r>
              <w:rPr>
                <w:rFonts w:hint="default" w:ascii="Times New Roman" w:hAnsi="Times New Roman" w:cs="Times New Roman"/>
              </w:rPr>
              <w:t>本项目新建危废暂存间，建筑面积5</w:t>
            </w:r>
            <w:r>
              <w:rPr>
                <w:rFonts w:hint="default" w:ascii="Times New Roman" w:hAnsi="Times New Roman" w:cs="Times New Roman"/>
                <w:lang w:eastAsia="zh-CN"/>
              </w:rPr>
              <w:t>㎡</w:t>
            </w:r>
            <w:r>
              <w:rPr>
                <w:rFonts w:hint="default" w:ascii="Times New Roman" w:hAnsi="Times New Roman" w:cs="Times New Roman"/>
              </w:rPr>
              <w:t>。危险废物转运时间不超过6个月，在危废暂存间容量范围内，项目设置1个占地面积5</w:t>
            </w:r>
            <w:r>
              <w:rPr>
                <w:rFonts w:hint="default" w:ascii="Times New Roman" w:hAnsi="Times New Roman" w:cs="Times New Roman"/>
                <w:lang w:eastAsia="zh-CN"/>
              </w:rPr>
              <w:t>㎡</w:t>
            </w:r>
            <w:r>
              <w:rPr>
                <w:rFonts w:hint="default" w:ascii="Times New Roman" w:hAnsi="Times New Roman" w:cs="Times New Roman"/>
              </w:rPr>
              <w:t>的危废暂存间。因此本项目危废暂存间容积能够满足全厂危废贮存需求。</w:t>
            </w:r>
          </w:p>
          <w:p>
            <w:pPr>
              <w:bidi w:val="0"/>
              <w:rPr>
                <w:rFonts w:hint="default" w:ascii="Times New Roman" w:hAnsi="Times New Roman" w:cs="Times New Roman"/>
              </w:rPr>
            </w:pPr>
            <w:r>
              <w:rPr>
                <w:rFonts w:hint="default" w:ascii="Times New Roman" w:hAnsi="Times New Roman" w:cs="Times New Roman"/>
              </w:rPr>
              <w:t>本项目涉及危险废物均置于专用桶或袋内，暂存于危废暂存间内，地面为混凝土防渗地面。废物包装容器为固态，桶正常状态为封闭状态，不会挥发废气，对周围大气环境影响较小；且项目产生的危废存放于危废暂存间中危废暂存桶/袋内，不会发生泄露或流动，因此对周围地表水环境影响较小；项目危废存放于危废暂存间内，危废暂存间铺设防渗材料，危废不会进入地下水和土壤中，不会对项目周围地下水和土壤产生影响。</w:t>
            </w:r>
          </w:p>
          <w:p>
            <w:pPr>
              <w:bidi w:val="0"/>
              <w:rPr>
                <w:rFonts w:hint="default" w:ascii="Times New Roman" w:hAnsi="Times New Roman" w:cs="Times New Roman"/>
                <w:b/>
                <w:bCs/>
              </w:rPr>
            </w:pPr>
            <w:r>
              <w:rPr>
                <w:rFonts w:hint="default" w:ascii="Times New Roman" w:hAnsi="Times New Roman" w:cs="Times New Roman"/>
                <w:b/>
                <w:bCs/>
              </w:rPr>
              <w:t>（5）总结</w:t>
            </w:r>
          </w:p>
          <w:p>
            <w:pPr>
              <w:bidi w:val="0"/>
              <w:rPr>
                <w:rFonts w:hint="default" w:ascii="Times New Roman" w:hAnsi="Times New Roman" w:cs="Times New Roman"/>
              </w:rPr>
            </w:pPr>
            <w:r>
              <w:rPr>
                <w:rFonts w:hint="default" w:ascii="Times New Roman" w:hAnsi="Times New Roman" w:cs="Times New Roman"/>
              </w:rPr>
              <w:t>采取上述固废处理处置措施后，项目产生的固体废物均得到了综合利用或合理处置，处置率为100%，满足环保要求，对周围环境影响较小。</w:t>
            </w:r>
          </w:p>
          <w:p>
            <w:pPr>
              <w:bidi w:val="0"/>
              <w:rPr>
                <w:rFonts w:hint="default" w:ascii="Times New Roman" w:hAnsi="Times New Roman" w:cs="Times New Roman"/>
                <w:b/>
                <w:bCs/>
              </w:rPr>
            </w:pPr>
            <w:r>
              <w:rPr>
                <w:rFonts w:hint="default" w:ascii="Times New Roman" w:hAnsi="Times New Roman" w:cs="Times New Roman"/>
                <w:b/>
                <w:bCs/>
              </w:rPr>
              <w:t>五、运营期环境风险</w:t>
            </w:r>
          </w:p>
          <w:p>
            <w:pPr>
              <w:bidi w:val="0"/>
              <w:rPr>
                <w:rFonts w:hint="default" w:ascii="Times New Roman" w:hAnsi="Times New Roman" w:cs="Times New Roman"/>
                <w:b/>
                <w:bCs/>
              </w:rPr>
            </w:pPr>
            <w:r>
              <w:rPr>
                <w:rFonts w:hint="default" w:ascii="Times New Roman" w:hAnsi="Times New Roman" w:cs="Times New Roman"/>
                <w:b/>
                <w:bCs/>
              </w:rPr>
              <w:t>（1）风险调查</w:t>
            </w:r>
          </w:p>
          <w:p>
            <w:pPr>
              <w:bidi w:val="0"/>
              <w:rPr>
                <w:rFonts w:hint="default" w:ascii="Times New Roman" w:hAnsi="Times New Roman" w:cs="Times New Roman"/>
              </w:rPr>
            </w:pPr>
            <w:r>
              <w:rPr>
                <w:rFonts w:hint="default" w:ascii="Times New Roman" w:hAnsi="Times New Roman" w:cs="Times New Roman"/>
              </w:rPr>
              <w:t>根据《建设项目环境风险评价技术导则》（HJ169-2018），确定风险识别的原则如下：</w:t>
            </w:r>
          </w:p>
          <w:p>
            <w:pPr>
              <w:bidi w:val="0"/>
              <w:rPr>
                <w:rFonts w:hint="default" w:ascii="Times New Roman" w:hAnsi="Times New Roman" w:cs="Times New Roman"/>
              </w:rPr>
            </w:pPr>
            <w:r>
              <w:rPr>
                <w:rFonts w:hint="default" w:ascii="Times New Roman" w:hAnsi="Times New Roman" w:cs="Times New Roman"/>
              </w:rPr>
              <w:t>①可能发生的突发性事件或事故（一般不包括人为破坏及自然灾害），引起有毒有害和易燃易爆等物质泄漏对环境造成的影响。</w:t>
            </w:r>
          </w:p>
          <w:p>
            <w:pPr>
              <w:bidi w:val="0"/>
              <w:rPr>
                <w:rFonts w:hint="default" w:ascii="Times New Roman" w:hAnsi="Times New Roman" w:cs="Times New Roman"/>
              </w:rPr>
            </w:pPr>
            <w:r>
              <w:rPr>
                <w:rFonts w:hint="default" w:ascii="Times New Roman" w:hAnsi="Times New Roman" w:cs="Times New Roman"/>
              </w:rPr>
              <w:t>②可能发生的突发性事件或事故（一般不包括人为破坏及自然灾害），引起有毒有害和易燃易爆等物质泄漏对厂（场）界外环境的影响。</w:t>
            </w:r>
          </w:p>
          <w:p>
            <w:pPr>
              <w:bidi w:val="0"/>
              <w:rPr>
                <w:rFonts w:hint="default" w:ascii="Times New Roman" w:hAnsi="Times New Roman" w:cs="Times New Roman"/>
              </w:rPr>
            </w:pPr>
            <w:r>
              <w:rPr>
                <w:rFonts w:hint="default" w:ascii="Times New Roman" w:hAnsi="Times New Roman" w:cs="Times New Roman"/>
              </w:rPr>
              <w:t>③选择生产、加工、运输、使用或储存中涉及的1~3个主要化学品以及部分生产产品，进行物质危险性判定。</w:t>
            </w:r>
          </w:p>
          <w:p>
            <w:pPr>
              <w:bidi w:val="0"/>
              <w:rPr>
                <w:rFonts w:hint="default" w:ascii="Times New Roman" w:hAnsi="Times New Roman" w:cs="Times New Roman"/>
              </w:rPr>
            </w:pPr>
            <w:r>
              <w:rPr>
                <w:rFonts w:hint="default" w:ascii="Times New Roman" w:hAnsi="Times New Roman" w:cs="Times New Roman"/>
              </w:rPr>
              <w:t>本项目风险物质为废润滑油参照《建设项目环境风险评价技术导则》（HJ169-2018）附录B表B.1突发环境事件风险物质及临界量中：序号381油类物质（矿物质油，如石油、汽油、柴油等；生物柴油等）临界量2500t，属于可燃物质。</w:t>
            </w:r>
          </w:p>
          <w:p>
            <w:pPr>
              <w:bidi w:val="0"/>
              <w:rPr>
                <w:rFonts w:hint="default" w:ascii="Times New Roman" w:hAnsi="Times New Roman" w:cs="Times New Roman"/>
              </w:rPr>
            </w:pPr>
            <w:r>
              <w:rPr>
                <w:rFonts w:hint="default" w:ascii="Times New Roman" w:hAnsi="Times New Roman" w:cs="Times New Roman"/>
              </w:rPr>
              <w:t>各类危险物质理化性质见下表4-</w:t>
            </w:r>
            <w:r>
              <w:rPr>
                <w:rFonts w:hint="default" w:ascii="Times New Roman" w:hAnsi="Times New Roman" w:cs="Times New Roman"/>
                <w:lang w:val="en-US" w:eastAsia="zh-CN"/>
              </w:rPr>
              <w:t>18</w:t>
            </w:r>
            <w:r>
              <w:rPr>
                <w:rFonts w:hint="default" w:ascii="Times New Roman" w:hAnsi="Times New Roman" w:cs="Times New Roman"/>
              </w:rPr>
              <w:t>。</w:t>
            </w:r>
          </w:p>
          <w:p>
            <w:pPr>
              <w:pStyle w:val="36"/>
              <w:bidi w:val="0"/>
              <w:rPr>
                <w:rFonts w:hint="default" w:ascii="Times New Roman" w:hAnsi="Times New Roman" w:cs="Times New Roman"/>
              </w:rPr>
            </w:pPr>
            <w:r>
              <w:rPr>
                <w:rFonts w:hint="default" w:ascii="Times New Roman" w:hAnsi="Times New Roman" w:cs="Times New Roman"/>
              </w:rPr>
              <w:t>表4-</w:t>
            </w:r>
            <w:r>
              <w:rPr>
                <w:rFonts w:hint="default" w:ascii="Times New Roman" w:hAnsi="Times New Roman" w:cs="Times New Roman"/>
                <w:lang w:val="en-US" w:eastAsia="zh-CN"/>
              </w:rPr>
              <w:t>18</w:t>
            </w:r>
            <w:r>
              <w:rPr>
                <w:rFonts w:hint="default" w:ascii="Times New Roman" w:hAnsi="Times New Roman" w:cs="Times New Roman"/>
              </w:rPr>
              <w:t>废润滑油理化性质</w:t>
            </w:r>
          </w:p>
          <w:tbl>
            <w:tblPr>
              <w:tblStyle w:val="98"/>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04"/>
              <w:gridCol w:w="74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6" w:hRule="atLeast"/>
              </w:trPr>
              <w:tc>
                <w:tcPr>
                  <w:tcW w:w="591" w:type="pct"/>
                  <w:tcBorders>
                    <w:tl2br w:val="nil"/>
                    <w:tr2bl w:val="nil"/>
                  </w:tcBorders>
                  <w:vAlign w:val="center"/>
                </w:tcPr>
                <w:p>
                  <w:pPr>
                    <w:pStyle w:val="45"/>
                    <w:bidi w:val="0"/>
                    <w:jc w:val="center"/>
                    <w:rPr>
                      <w:rFonts w:hint="default" w:ascii="Times New Roman" w:hAnsi="Times New Roman" w:cs="Times New Roman"/>
                      <w:b/>
                      <w:bCs/>
                    </w:rPr>
                  </w:pPr>
                  <w:r>
                    <w:rPr>
                      <w:rFonts w:hint="default" w:ascii="Times New Roman" w:hAnsi="Times New Roman" w:cs="Times New Roman"/>
                      <w:b/>
                      <w:bCs/>
                    </w:rPr>
                    <w:t>名称</w:t>
                  </w:r>
                </w:p>
              </w:tc>
              <w:tc>
                <w:tcPr>
                  <w:tcW w:w="4408" w:type="pct"/>
                  <w:tcBorders>
                    <w:tl2br w:val="nil"/>
                    <w:tr2bl w:val="nil"/>
                  </w:tcBorders>
                  <w:vAlign w:val="center"/>
                </w:tcPr>
                <w:p>
                  <w:pPr>
                    <w:pStyle w:val="45"/>
                    <w:bidi w:val="0"/>
                    <w:jc w:val="center"/>
                    <w:rPr>
                      <w:rFonts w:hint="default" w:ascii="Times New Roman" w:hAnsi="Times New Roman" w:cs="Times New Roman"/>
                      <w:b/>
                      <w:bCs/>
                    </w:rPr>
                  </w:pPr>
                  <w:r>
                    <w:rPr>
                      <w:rFonts w:hint="default" w:ascii="Times New Roman" w:hAnsi="Times New Roman" w:cs="Times New Roman"/>
                      <w:b/>
                      <w:bCs/>
                    </w:rPr>
                    <w:t>废润滑油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2" w:hRule="atLeast"/>
              </w:trPr>
              <w:tc>
                <w:tcPr>
                  <w:tcW w:w="591"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成分</w:t>
                  </w:r>
                </w:p>
              </w:tc>
              <w:tc>
                <w:tcPr>
                  <w:tcW w:w="4408"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液体石蜡性状为无色透明油状液体，在日光下观察不显荧光。室温下无臭无味，</w:t>
                  </w:r>
                </w:p>
                <w:p>
                  <w:pPr>
                    <w:pStyle w:val="45"/>
                    <w:bidi w:val="0"/>
                    <w:jc w:val="center"/>
                    <w:rPr>
                      <w:rFonts w:hint="default" w:ascii="Times New Roman" w:hAnsi="Times New Roman" w:cs="Times New Roman"/>
                    </w:rPr>
                  </w:pPr>
                  <w:r>
                    <w:rPr>
                      <w:rFonts w:hint="default" w:ascii="Times New Roman" w:hAnsi="Times New Roman" w:cs="Times New Roman"/>
                    </w:rPr>
                    <w:t>加热后略有石油臭。密度比重0.86-0.905（25°)不溶于水、甘油、冷乙醇，溶于苯、乙醚、氯仿、二硫化碳、热乙醇。与除蓖麻油外大多数脂肪油能任意混合，樟脑、薄荷脑及大多数天然或人造麝香均能被溶解。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trPr>
              <w:tc>
                <w:tcPr>
                  <w:tcW w:w="591"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性质</w:t>
                  </w:r>
                </w:p>
              </w:tc>
              <w:tc>
                <w:tcPr>
                  <w:tcW w:w="4408"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无色半透明油状液体，无或几乎无荧光，冷时无臭、无味，加热时略有石油样气味，不溶于水、乙醇，溶于挥发油，混溶于多数非挥发性油，对光、热、酸等稳定，但长时间接触光和热会慢慢氧化。本品允许含有食用级抗氧化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3" w:hRule="atLeast"/>
              </w:trPr>
              <w:tc>
                <w:tcPr>
                  <w:tcW w:w="591"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危害</w:t>
                  </w:r>
                </w:p>
              </w:tc>
              <w:tc>
                <w:tcPr>
                  <w:tcW w:w="4408" w:type="pct"/>
                  <w:tcBorders>
                    <w:tl2br w:val="nil"/>
                    <w:tr2bl w:val="nil"/>
                  </w:tcBorders>
                  <w:vAlign w:val="center"/>
                </w:tcPr>
                <w:p>
                  <w:pPr>
                    <w:pStyle w:val="45"/>
                    <w:bidi w:val="0"/>
                    <w:jc w:val="center"/>
                    <w:rPr>
                      <w:rFonts w:hint="default" w:ascii="Times New Roman" w:hAnsi="Times New Roman" w:cs="Times New Roman"/>
                    </w:rPr>
                  </w:pPr>
                  <w:r>
                    <w:rPr>
                      <w:rFonts w:hint="default" w:ascii="Times New Roman" w:hAnsi="Times New Roman" w:cs="Times New Roman"/>
                    </w:rPr>
                    <w:t>矿物油在人体肠道不被吸收或消化，同时能妨碍水分的吸收医学上将其作为润滑性泻药使用，治疗老年人或儿童的便秘。大量摄入可至变软、腹泻；长期摄入可导致消化道障碍，影响脂溶性维生素A、D、K和钙、磷等的吸收。对人体极其有害，它会将人体的脂溶性维生素全部带出，使它们无法被人体吸收，食用矿物油会导致人体维生素A、D、E、K的严重缺乏，产生一系列的病变。</w:t>
                  </w:r>
                </w:p>
              </w:tc>
            </w:tr>
          </w:tbl>
          <w:p>
            <w:pPr>
              <w:bidi w:val="0"/>
              <w:rPr>
                <w:rFonts w:hint="default" w:ascii="Times New Roman" w:hAnsi="Times New Roman" w:cs="Times New Roman"/>
              </w:rPr>
            </w:pPr>
            <w:r>
              <w:rPr>
                <w:rFonts w:hint="default" w:ascii="Times New Roman" w:hAnsi="Times New Roman" w:cs="Times New Roman"/>
              </w:rPr>
              <w:t>（2）环境风险潜势初判</w:t>
            </w:r>
          </w:p>
          <w:p>
            <w:pPr>
              <w:bidi w:val="0"/>
              <w:rPr>
                <w:rFonts w:hint="default" w:ascii="Times New Roman" w:hAnsi="Times New Roman" w:cs="Times New Roman"/>
              </w:rPr>
            </w:pPr>
            <w:r>
              <w:rPr>
                <w:rFonts w:hint="default" w:ascii="Times New Roman" w:hAnsi="Times New Roman" w:cs="Times New Roman"/>
              </w:rPr>
              <w:t>根据《建设项目环境风险评价技术导则》（HJ/T169-2018），本项目需按下式计算物质总量与其临界量比值Q，在不同厂区的同一种物质，按其在厂界内的最大存在量计算。</w:t>
            </w:r>
          </w:p>
          <w:p>
            <w:pPr>
              <w:bidi w:val="0"/>
              <w:jc w:val="center"/>
              <w:rPr>
                <w:rFonts w:hint="default" w:ascii="Times New Roman" w:hAnsi="Times New Roman" w:cs="Times New Roman"/>
              </w:rPr>
            </w:pPr>
            <w:r>
              <w:rPr>
                <w:rFonts w:hint="default" w:ascii="Times New Roman" w:hAnsi="Times New Roman" w:cs="Times New Roman"/>
              </w:rPr>
              <w:t>Q=q</w:t>
            </w:r>
            <w:r>
              <w:rPr>
                <w:rFonts w:hint="default" w:ascii="Times New Roman" w:hAnsi="Times New Roman" w:cs="Times New Roman"/>
                <w:vertAlign w:val="subscript"/>
              </w:rPr>
              <w:t>1</w:t>
            </w:r>
            <w:r>
              <w:rPr>
                <w:rFonts w:hint="default" w:ascii="Times New Roman" w:hAnsi="Times New Roman" w:cs="Times New Roman"/>
              </w:rPr>
              <w:t>/Q</w:t>
            </w:r>
            <w:r>
              <w:rPr>
                <w:rFonts w:hint="default" w:ascii="Times New Roman" w:hAnsi="Times New Roman" w:cs="Times New Roman"/>
                <w:vertAlign w:val="subscript"/>
              </w:rPr>
              <w:t>1</w:t>
            </w:r>
            <w:r>
              <w:rPr>
                <w:rFonts w:hint="default" w:ascii="Times New Roman" w:hAnsi="Times New Roman" w:cs="Times New Roman"/>
              </w:rPr>
              <w:t>+q</w:t>
            </w:r>
            <w:r>
              <w:rPr>
                <w:rFonts w:hint="default" w:ascii="Times New Roman" w:hAnsi="Times New Roman" w:cs="Times New Roman"/>
                <w:vertAlign w:val="subscript"/>
              </w:rPr>
              <w:t>2</w:t>
            </w:r>
            <w:r>
              <w:rPr>
                <w:rFonts w:hint="default" w:ascii="Times New Roman" w:hAnsi="Times New Roman" w:cs="Times New Roman"/>
              </w:rPr>
              <w:t>/Q</w:t>
            </w:r>
            <w:r>
              <w:rPr>
                <w:rFonts w:hint="default" w:ascii="Times New Roman" w:hAnsi="Times New Roman" w:cs="Times New Roman"/>
                <w:vertAlign w:val="subscript"/>
              </w:rPr>
              <w:t>2</w:t>
            </w:r>
            <w:r>
              <w:rPr>
                <w:rFonts w:hint="default" w:ascii="Times New Roman" w:hAnsi="Times New Roman" w:cs="Times New Roman"/>
              </w:rPr>
              <w:t>+...q</w:t>
            </w:r>
            <w:r>
              <w:rPr>
                <w:rFonts w:hint="default" w:ascii="Times New Roman" w:hAnsi="Times New Roman" w:cs="Times New Roman"/>
                <w:vertAlign w:val="subscript"/>
              </w:rPr>
              <w:t>3</w:t>
            </w:r>
            <w:r>
              <w:rPr>
                <w:rFonts w:hint="default" w:ascii="Times New Roman" w:hAnsi="Times New Roman" w:cs="Times New Roman"/>
              </w:rPr>
              <w:t>/Q</w:t>
            </w:r>
            <w:r>
              <w:rPr>
                <w:rFonts w:hint="default" w:ascii="Times New Roman" w:hAnsi="Times New Roman" w:cs="Times New Roman"/>
                <w:vertAlign w:val="subscript"/>
              </w:rPr>
              <w:t>3</w:t>
            </w:r>
          </w:p>
          <w:p>
            <w:pPr>
              <w:bidi w:val="0"/>
              <w:rPr>
                <w:rFonts w:hint="default" w:ascii="Times New Roman" w:hAnsi="Times New Roman" w:cs="Times New Roman"/>
              </w:rPr>
            </w:pPr>
            <w:r>
              <w:rPr>
                <w:rFonts w:hint="default" w:ascii="Times New Roman" w:hAnsi="Times New Roman" w:cs="Times New Roman"/>
              </w:rPr>
              <w:t>式中：q</w:t>
            </w:r>
            <w:r>
              <w:rPr>
                <w:rFonts w:hint="default" w:ascii="Times New Roman" w:hAnsi="Times New Roman" w:cs="Times New Roman"/>
                <w:vertAlign w:val="subscript"/>
              </w:rPr>
              <w:t>1</w:t>
            </w:r>
            <w:r>
              <w:rPr>
                <w:rFonts w:hint="default" w:ascii="Times New Roman" w:hAnsi="Times New Roman" w:cs="Times New Roman"/>
              </w:rPr>
              <w:t>，q</w:t>
            </w:r>
            <w:r>
              <w:rPr>
                <w:rFonts w:hint="default" w:ascii="Times New Roman" w:hAnsi="Times New Roman" w:cs="Times New Roman"/>
                <w:vertAlign w:val="subscript"/>
              </w:rPr>
              <w:t>2</w:t>
            </w:r>
            <w:r>
              <w:rPr>
                <w:rFonts w:hint="default" w:ascii="Times New Roman" w:hAnsi="Times New Roman" w:cs="Times New Roman"/>
              </w:rPr>
              <w:t>,q</w:t>
            </w:r>
            <w:r>
              <w:rPr>
                <w:rFonts w:hint="default" w:ascii="Times New Roman" w:hAnsi="Times New Roman" w:cs="Times New Roman"/>
                <w:vertAlign w:val="subscript"/>
              </w:rPr>
              <w:t>n</w:t>
            </w:r>
            <w:r>
              <w:rPr>
                <w:rFonts w:hint="default" w:ascii="Times New Roman" w:hAnsi="Times New Roman" w:cs="Times New Roman"/>
              </w:rPr>
              <w:t>——每种危险物质的最大存在总量，t；</w:t>
            </w:r>
          </w:p>
          <w:p>
            <w:pPr>
              <w:bidi w:val="0"/>
              <w:rPr>
                <w:rFonts w:hint="default" w:ascii="Times New Roman" w:hAnsi="Times New Roman" w:cs="Times New Roman"/>
              </w:rPr>
            </w:pPr>
            <w:r>
              <w:rPr>
                <w:rFonts w:hint="default" w:ascii="Times New Roman" w:hAnsi="Times New Roman" w:cs="Times New Roman"/>
              </w:rPr>
              <w:t>Q</w:t>
            </w:r>
            <w:r>
              <w:rPr>
                <w:rFonts w:hint="default" w:ascii="Times New Roman" w:hAnsi="Times New Roman" w:cs="Times New Roman"/>
                <w:vertAlign w:val="subscript"/>
              </w:rPr>
              <w:t>1</w:t>
            </w:r>
            <w:r>
              <w:rPr>
                <w:rFonts w:hint="default" w:ascii="Times New Roman" w:hAnsi="Times New Roman" w:cs="Times New Roman"/>
              </w:rPr>
              <w:t>，Q</w:t>
            </w:r>
            <w:r>
              <w:rPr>
                <w:rFonts w:hint="default" w:ascii="Times New Roman" w:hAnsi="Times New Roman" w:cs="Times New Roman"/>
                <w:vertAlign w:val="subscript"/>
              </w:rPr>
              <w:t>2</w:t>
            </w:r>
            <w:r>
              <w:rPr>
                <w:rFonts w:hint="default" w:ascii="Times New Roman" w:hAnsi="Times New Roman" w:cs="Times New Roman"/>
              </w:rPr>
              <w:t>,Q</w:t>
            </w:r>
            <w:r>
              <w:rPr>
                <w:rFonts w:hint="default" w:ascii="Times New Roman" w:hAnsi="Times New Roman" w:cs="Times New Roman"/>
                <w:vertAlign w:val="subscript"/>
              </w:rPr>
              <w:t>n</w:t>
            </w:r>
            <w:r>
              <w:rPr>
                <w:rFonts w:hint="default" w:ascii="Times New Roman" w:hAnsi="Times New Roman" w:cs="Times New Roman"/>
              </w:rPr>
              <w:t>——每种危险物质的临界量，t；</w:t>
            </w:r>
          </w:p>
          <w:p>
            <w:pPr>
              <w:bidi w:val="0"/>
              <w:rPr>
                <w:rFonts w:hint="default" w:ascii="Times New Roman" w:hAnsi="Times New Roman" w:cs="Times New Roman"/>
              </w:rPr>
            </w:pPr>
            <w:r>
              <w:rPr>
                <w:rFonts w:hint="default" w:ascii="Times New Roman" w:hAnsi="Times New Roman" w:cs="Times New Roman"/>
              </w:rPr>
              <w:t>当Q＜1时，该项目环境风险潜势为Ⅰ;</w:t>
            </w:r>
          </w:p>
          <w:p>
            <w:pPr>
              <w:bidi w:val="0"/>
              <w:rPr>
                <w:rFonts w:hint="default" w:ascii="Times New Roman" w:hAnsi="Times New Roman" w:cs="Times New Roman"/>
              </w:rPr>
            </w:pPr>
            <w:r>
              <w:rPr>
                <w:rFonts w:hint="default" w:ascii="Times New Roman" w:hAnsi="Times New Roman" w:cs="Times New Roman"/>
              </w:rPr>
              <w:t>当Q≥1时，将Q值划分为：（1）1≤Q＜10；（2）10≤Q＜100；（3）Q≥100。</w:t>
            </w:r>
          </w:p>
          <w:p>
            <w:pPr>
              <w:bidi w:val="0"/>
              <w:rPr>
                <w:rFonts w:hint="default" w:ascii="Times New Roman" w:hAnsi="Times New Roman" w:cs="Times New Roman"/>
              </w:rPr>
            </w:pPr>
            <w:r>
              <w:rPr>
                <w:rFonts w:hint="default" w:ascii="Times New Roman" w:hAnsi="Times New Roman" w:cs="Times New Roman"/>
              </w:rPr>
              <w:t>本项目涉及风险物质为废润滑油，查阅《建设项目环境风险评价技术导则》</w:t>
            </w:r>
          </w:p>
          <w:p>
            <w:pPr>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cs="Times New Roman"/>
              </w:rPr>
              <w:t>（HJ169-2018）附录B中以上各种物质的临界量，计算结果见下表。见表4-</w:t>
            </w:r>
            <w:r>
              <w:rPr>
                <w:rFonts w:hint="default" w:ascii="Times New Roman" w:hAnsi="Times New Roman" w:cs="Times New Roman"/>
                <w:lang w:val="en-US" w:eastAsia="zh-CN"/>
              </w:rPr>
              <w:t>19</w:t>
            </w:r>
          </w:p>
          <w:p>
            <w:pPr>
              <w:pStyle w:val="36"/>
              <w:bidi w:val="0"/>
              <w:rPr>
                <w:rFonts w:hint="default" w:ascii="Times New Roman" w:hAnsi="Times New Roman" w:cs="Times New Roman"/>
              </w:rPr>
            </w:pPr>
            <w:r>
              <w:rPr>
                <w:rFonts w:hint="default" w:ascii="Times New Roman" w:hAnsi="Times New Roman" w:cs="Times New Roman"/>
              </w:rPr>
              <w:t>表4-</w:t>
            </w:r>
            <w:r>
              <w:rPr>
                <w:rFonts w:hint="default" w:ascii="Times New Roman" w:hAnsi="Times New Roman" w:cs="Times New Roman"/>
                <w:lang w:val="en-US" w:eastAsia="zh-CN"/>
              </w:rPr>
              <w:t>19</w:t>
            </w:r>
            <w:r>
              <w:rPr>
                <w:rFonts w:hint="default" w:ascii="Times New Roman" w:hAnsi="Times New Roman" w:cs="Times New Roman"/>
              </w:rPr>
              <w:t>危险物质辨识指标（AQR）</w:t>
            </w:r>
          </w:p>
          <w:p>
            <w:pPr>
              <w:spacing w:line="41" w:lineRule="auto"/>
              <w:rPr>
                <w:rFonts w:hint="default" w:ascii="Times New Roman" w:hAnsi="Times New Roman" w:cs="Times New Roman"/>
                <w:sz w:val="2"/>
              </w:rPr>
            </w:pPr>
          </w:p>
          <w:tbl>
            <w:tblPr>
              <w:tblStyle w:val="98"/>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08"/>
              <w:gridCol w:w="1336"/>
              <w:gridCol w:w="1411"/>
              <w:gridCol w:w="1455"/>
              <w:gridCol w:w="1718"/>
              <w:gridCol w:w="8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1006"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危险物质</w:t>
                  </w:r>
                </w:p>
              </w:tc>
              <w:tc>
                <w:tcPr>
                  <w:tcW w:w="78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类别</w:t>
                  </w:r>
                </w:p>
              </w:tc>
              <w:tc>
                <w:tcPr>
                  <w:tcW w:w="83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贮存最大数量（t）</w:t>
                  </w:r>
                </w:p>
              </w:tc>
              <w:tc>
                <w:tcPr>
                  <w:tcW w:w="856"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相对应的临界量（t）</w:t>
                  </w:r>
                </w:p>
              </w:tc>
              <w:tc>
                <w:tcPr>
                  <w:tcW w:w="1012"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危险物质辨识指标（AQR）</w:t>
                  </w:r>
                </w:p>
              </w:tc>
              <w:tc>
                <w:tcPr>
                  <w:tcW w:w="506"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1006"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废润滑油</w:t>
                  </w:r>
                </w:p>
              </w:tc>
              <w:tc>
                <w:tcPr>
                  <w:tcW w:w="787"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泄漏</w:t>
                  </w:r>
                </w:p>
              </w:tc>
              <w:tc>
                <w:tcPr>
                  <w:tcW w:w="831"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0.1</w:t>
                  </w:r>
                </w:p>
              </w:tc>
              <w:tc>
                <w:tcPr>
                  <w:tcW w:w="856"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2500</w:t>
                  </w:r>
                </w:p>
              </w:tc>
              <w:tc>
                <w:tcPr>
                  <w:tcW w:w="1012"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0.00004</w:t>
                  </w:r>
                </w:p>
              </w:tc>
              <w:tc>
                <w:tcPr>
                  <w:tcW w:w="506"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3481" w:type="pct"/>
                  <w:gridSpan w:val="4"/>
                  <w:vAlign w:val="center"/>
                </w:tcPr>
                <w:p>
                  <w:pPr>
                    <w:pStyle w:val="45"/>
                    <w:bidi w:val="0"/>
                    <w:jc w:val="center"/>
                    <w:rPr>
                      <w:rFonts w:hint="default" w:ascii="Times New Roman" w:hAnsi="Times New Roman" w:cs="Times New Roman"/>
                    </w:rPr>
                  </w:pPr>
                  <w:r>
                    <w:rPr>
                      <w:rFonts w:hint="default" w:ascii="Times New Roman" w:hAnsi="Times New Roman" w:cs="Times New Roman"/>
                    </w:rPr>
                    <w:t>共计</w:t>
                  </w:r>
                </w:p>
              </w:tc>
              <w:tc>
                <w:tcPr>
                  <w:tcW w:w="1012"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0.00004</w:t>
                  </w:r>
                </w:p>
              </w:tc>
              <w:tc>
                <w:tcPr>
                  <w:tcW w:w="506" w:type="pct"/>
                  <w:vAlign w:val="center"/>
                </w:tcPr>
                <w:p>
                  <w:pPr>
                    <w:pStyle w:val="45"/>
                    <w:bidi w:val="0"/>
                    <w:jc w:val="center"/>
                    <w:rPr>
                      <w:rFonts w:hint="default" w:ascii="Times New Roman" w:hAnsi="Times New Roman" w:cs="Times New Roman"/>
                    </w:rPr>
                  </w:pPr>
                  <w:r>
                    <w:rPr>
                      <w:rFonts w:hint="default" w:ascii="Times New Roman" w:hAnsi="Times New Roman" w:cs="Times New Roman"/>
                    </w:rPr>
                    <w:t>/</w:t>
                  </w:r>
                </w:p>
              </w:tc>
            </w:tr>
          </w:tbl>
          <w:p>
            <w:pPr>
              <w:bidi w:val="0"/>
              <w:rPr>
                <w:rFonts w:hint="default" w:ascii="Times New Roman" w:hAnsi="Times New Roman" w:cs="Times New Roman"/>
              </w:rPr>
            </w:pPr>
            <w:r>
              <w:rPr>
                <w:rFonts w:hint="default" w:ascii="Times New Roman" w:hAnsi="Times New Roman" w:cs="Times New Roman"/>
              </w:rPr>
              <w:t>由上表可知，本项目Q值为Q=0.00004＜1，根据《建设项目环境风险评价技术导则》（HJ/T169-2018）中附录C可知由此判断本项目环境风险潜势为Ⅰ。</w:t>
            </w:r>
          </w:p>
          <w:p>
            <w:pPr>
              <w:bidi w:val="0"/>
              <w:rPr>
                <w:rFonts w:hint="default" w:ascii="Times New Roman" w:hAnsi="Times New Roman" w:cs="Times New Roman"/>
                <w:b/>
                <w:bCs/>
              </w:rPr>
            </w:pPr>
            <w:r>
              <w:rPr>
                <w:rFonts w:hint="default" w:ascii="Times New Roman" w:hAnsi="Times New Roman" w:cs="Times New Roman"/>
                <w:b/>
                <w:bCs/>
              </w:rPr>
              <w:t>六、环境风险影响分析</w:t>
            </w:r>
          </w:p>
          <w:p>
            <w:pPr>
              <w:bidi w:val="0"/>
              <w:rPr>
                <w:rFonts w:hint="default" w:ascii="Times New Roman" w:hAnsi="Times New Roman" w:cs="Times New Roman"/>
              </w:rPr>
            </w:pPr>
            <w:r>
              <w:rPr>
                <w:rFonts w:hint="default" w:ascii="Times New Roman" w:hAnsi="Times New Roman" w:cs="Times New Roman"/>
              </w:rPr>
              <w:t>危险废物暂存间严格按执行《危险废物贮存污染控制标准》（GB18597-20</w:t>
            </w:r>
            <w:r>
              <w:rPr>
                <w:rFonts w:hint="default" w:ascii="Times New Roman" w:hAnsi="Times New Roman" w:cs="Times New Roman"/>
                <w:lang w:val="en-US" w:eastAsia="zh-CN"/>
              </w:rPr>
              <w:t>23</w:t>
            </w:r>
            <w:r>
              <w:rPr>
                <w:rFonts w:hint="default" w:ascii="Times New Roman" w:hAnsi="Times New Roman" w:cs="Times New Roman"/>
              </w:rPr>
              <w:t>）及其修改单中的要求进行建设、防渗，并设置围堰，危废暂存间废润滑泄漏后经围堰封堵，不会进入外环境，因此废润滑泄漏危废间内即可妥善处理，用砂土或其它不燃材料吸附或吸收，吸附后的不燃材料或沙土单独收集作为危废处理，因此对外环境产生的影响很小。</w:t>
            </w:r>
          </w:p>
          <w:p>
            <w:pPr>
              <w:bidi w:val="0"/>
              <w:rPr>
                <w:rFonts w:hint="default" w:ascii="Times New Roman" w:hAnsi="Times New Roman" w:cs="Times New Roman"/>
              </w:rPr>
            </w:pPr>
            <w:r>
              <w:rPr>
                <w:rFonts w:hint="default" w:ascii="Times New Roman" w:hAnsi="Times New Roman" w:cs="Times New Roman"/>
              </w:rPr>
              <w:t>（1）大气环境风险影响分析</w:t>
            </w:r>
          </w:p>
          <w:p>
            <w:pPr>
              <w:bidi w:val="0"/>
              <w:rPr>
                <w:rFonts w:hint="default" w:ascii="Times New Roman" w:hAnsi="Times New Roman" w:cs="Times New Roman"/>
              </w:rPr>
            </w:pPr>
            <w:r>
              <w:rPr>
                <w:rFonts w:hint="default" w:ascii="Times New Roman" w:hAnsi="Times New Roman" w:cs="Times New Roman"/>
              </w:rPr>
              <w:t>废润滑油遇明火发生火灾事故，产生CO和CO</w:t>
            </w:r>
            <w:r>
              <w:rPr>
                <w:rFonts w:hint="default" w:ascii="Times New Roman" w:hAnsi="Times New Roman" w:cs="Times New Roman"/>
                <w:vertAlign w:val="subscript"/>
              </w:rPr>
              <w:t>2</w:t>
            </w:r>
            <w:r>
              <w:rPr>
                <w:rFonts w:hint="default" w:ascii="Times New Roman" w:hAnsi="Times New Roman" w:cs="Times New Roman"/>
              </w:rPr>
              <w:t>等污染物，排放到大气环境中会污染大气环境，项目区存储量较小，发生火灾爆炸事故的概率较小，在发生火灾时能够及时采取措施在最短时间内将火扑灭，废气产生量很小，在扑灭后经空气扩散稀释后对大气环境影响较小。废气治理设施因停电或故障未能正常运行时，有机废气未经处理直接排放，造成局部大气不良影响。</w:t>
            </w:r>
          </w:p>
          <w:p>
            <w:pPr>
              <w:bidi w:val="0"/>
              <w:rPr>
                <w:rFonts w:hint="default" w:ascii="Times New Roman" w:hAnsi="Times New Roman" w:cs="Times New Roman"/>
              </w:rPr>
            </w:pPr>
            <w:r>
              <w:rPr>
                <w:rFonts w:hint="default" w:ascii="Times New Roman" w:hAnsi="Times New Roman" w:cs="Times New Roman"/>
              </w:rPr>
              <w:t>（2）地表水、地下水、土壤环境风险影响分析</w:t>
            </w:r>
          </w:p>
          <w:p>
            <w:pPr>
              <w:bidi w:val="0"/>
              <w:rPr>
                <w:rFonts w:hint="default" w:ascii="Times New Roman" w:hAnsi="Times New Roman" w:cs="Times New Roman"/>
              </w:rPr>
            </w:pPr>
            <w:r>
              <w:rPr>
                <w:rFonts w:hint="default" w:ascii="Times New Roman" w:hAnsi="Times New Roman" w:cs="Times New Roman"/>
              </w:rPr>
              <w:t>废润滑油存在泄露风险，使用或存储过程如发生泄露，则泄露物料可能会进入雨水管道、地表水体，对地表水体环境产生一定影响，甚至通过下渗对地下水和土壤造成影响；废润滑油泄漏一旦进入周边水体，将造成水体的污染，由于废润滑油难溶于水，大部分上浮在水层表面，形成一层油膜使空气隔离，造成水中溶解氧浓度降低，逐渐形成死水，致使水中生物死亡。且废润滑油、遇明火发生火灾事故时需使用大量水来灭火，此过程会产生大量消防废水，消防废水一旦进入周边地表水体，将造成地表水体的污染。</w:t>
            </w:r>
          </w:p>
          <w:p>
            <w:pPr>
              <w:bidi w:val="0"/>
              <w:rPr>
                <w:rFonts w:hint="default" w:ascii="Times New Roman" w:hAnsi="Times New Roman" w:cs="Times New Roman"/>
                <w:b/>
                <w:bCs/>
              </w:rPr>
            </w:pPr>
            <w:r>
              <w:rPr>
                <w:rFonts w:hint="default" w:ascii="Times New Roman" w:hAnsi="Times New Roman" w:cs="Times New Roman"/>
                <w:b/>
                <w:bCs/>
              </w:rPr>
              <w:t>七、环境风险防范措施</w:t>
            </w:r>
          </w:p>
          <w:p>
            <w:pPr>
              <w:bidi w:val="0"/>
              <w:rPr>
                <w:rFonts w:hint="default" w:ascii="Times New Roman" w:hAnsi="Times New Roman" w:cs="Times New Roman"/>
              </w:rPr>
            </w:pPr>
            <w:r>
              <w:rPr>
                <w:rFonts w:hint="default" w:ascii="Times New Roman" w:hAnsi="Times New Roman" w:cs="Times New Roman"/>
              </w:rPr>
              <w:t>针对本项目可能产生的风险类别，建设单位应考虑采取一系列防范措施，为进一步减少风险事故可能产生的环境影响，建议在采取预防措施基础上加强以下风险防范和管理措施。</w:t>
            </w:r>
          </w:p>
          <w:p>
            <w:pPr>
              <w:bidi w:val="0"/>
              <w:rPr>
                <w:rFonts w:hint="default" w:ascii="Times New Roman" w:hAnsi="Times New Roman" w:cs="Times New Roman"/>
                <w:b/>
                <w:bCs/>
              </w:rPr>
            </w:pPr>
            <w:r>
              <w:rPr>
                <w:rFonts w:hint="default" w:ascii="Times New Roman" w:hAnsi="Times New Roman" w:cs="Times New Roman"/>
                <w:b/>
                <w:bCs/>
              </w:rPr>
              <w:t>1、环境风险管理</w:t>
            </w:r>
          </w:p>
          <w:p>
            <w:pPr>
              <w:bidi w:val="0"/>
              <w:rPr>
                <w:rFonts w:hint="default" w:ascii="Times New Roman" w:hAnsi="Times New Roman" w:cs="Times New Roman"/>
                <w:b w:val="0"/>
                <w:bCs w:val="0"/>
              </w:rPr>
            </w:pPr>
            <w:r>
              <w:rPr>
                <w:rFonts w:hint="default" w:ascii="Times New Roman" w:hAnsi="Times New Roman" w:cs="Times New Roman"/>
                <w:b w:val="0"/>
                <w:bCs w:val="0"/>
              </w:rPr>
              <w:t>（1）废润滑油的防范措施</w:t>
            </w:r>
          </w:p>
          <w:p>
            <w:pPr>
              <w:bidi w:val="0"/>
              <w:rPr>
                <w:rFonts w:hint="default" w:ascii="Times New Roman" w:hAnsi="Times New Roman" w:cs="Times New Roman"/>
                <w:b w:val="0"/>
                <w:bCs w:val="0"/>
              </w:rPr>
            </w:pPr>
            <w:r>
              <w:rPr>
                <w:rFonts w:hint="default" w:ascii="Times New Roman" w:hAnsi="Times New Roman" w:cs="Times New Roman"/>
                <w:b w:val="0"/>
                <w:bCs w:val="0"/>
              </w:rPr>
              <w:t>1）泄漏的防范措施</w:t>
            </w:r>
          </w:p>
          <w:p>
            <w:pPr>
              <w:bidi w:val="0"/>
              <w:rPr>
                <w:rFonts w:hint="default" w:ascii="Times New Roman" w:hAnsi="Times New Roman" w:cs="Times New Roman"/>
                <w:b w:val="0"/>
                <w:bCs w:val="0"/>
              </w:rPr>
            </w:pPr>
            <w:r>
              <w:rPr>
                <w:rFonts w:hint="default" w:ascii="Times New Roman" w:hAnsi="Times New Roman" w:cs="Times New Roman"/>
                <w:b w:val="0"/>
                <w:bCs w:val="0"/>
              </w:rPr>
              <w:t>危险废物暂存间严格按执行《危险废物贮存污染控制标准》（</w:t>
            </w:r>
            <w:r>
              <w:rPr>
                <w:rFonts w:hint="eastAsia" w:cs="Times New Roman"/>
                <w:b w:val="0"/>
                <w:bCs w:val="0"/>
                <w:lang w:eastAsia="zh-CN"/>
              </w:rPr>
              <w:t>GB18597-2023</w:t>
            </w:r>
            <w:r>
              <w:rPr>
                <w:rFonts w:hint="default" w:ascii="Times New Roman" w:hAnsi="Times New Roman" w:cs="Times New Roman"/>
                <w:b w:val="0"/>
                <w:bCs w:val="0"/>
              </w:rPr>
              <w:t>）及其修改单中的要求进行建设、防渗，并设置围堰，危废暂存间废油泄漏后经围堰封堵，不会进入外环境，因此废润滑油泄漏危废间内即可妥善处理，用砂土或其它不燃材料吸附或吸收，吸附后的不燃材料或沙土单独收集作为危废处理，因此对外</w:t>
            </w:r>
          </w:p>
          <w:p>
            <w:pPr>
              <w:bidi w:val="0"/>
              <w:rPr>
                <w:rFonts w:hint="default" w:ascii="Times New Roman" w:hAnsi="Times New Roman" w:cs="Times New Roman"/>
                <w:b w:val="0"/>
                <w:bCs w:val="0"/>
              </w:rPr>
            </w:pPr>
            <w:r>
              <w:rPr>
                <w:rFonts w:hint="default" w:ascii="Times New Roman" w:hAnsi="Times New Roman" w:cs="Times New Roman"/>
                <w:b w:val="0"/>
                <w:bCs w:val="0"/>
              </w:rPr>
              <w:t>环境产生的影响很小。</w:t>
            </w:r>
          </w:p>
          <w:p>
            <w:pPr>
              <w:bidi w:val="0"/>
              <w:rPr>
                <w:rFonts w:hint="default" w:ascii="Times New Roman" w:hAnsi="Times New Roman" w:cs="Times New Roman"/>
                <w:b w:val="0"/>
                <w:bCs w:val="0"/>
              </w:rPr>
            </w:pPr>
            <w:r>
              <w:rPr>
                <w:rFonts w:hint="default" w:ascii="Times New Roman" w:hAnsi="Times New Roman" w:cs="Times New Roman"/>
                <w:b w:val="0"/>
                <w:bCs w:val="0"/>
              </w:rPr>
              <w:t>2）火灾及爆炸防范措施</w:t>
            </w:r>
          </w:p>
          <w:p>
            <w:pPr>
              <w:bidi w:val="0"/>
              <w:rPr>
                <w:rFonts w:hint="default" w:ascii="Times New Roman" w:hAnsi="Times New Roman" w:cs="Times New Roman"/>
                <w:b w:val="0"/>
                <w:bCs w:val="0"/>
              </w:rPr>
            </w:pPr>
            <w:r>
              <w:rPr>
                <w:rFonts w:hint="default" w:ascii="Times New Roman" w:hAnsi="Times New Roman" w:cs="Times New Roman"/>
                <w:b w:val="0"/>
                <w:bCs w:val="0"/>
              </w:rPr>
              <w:t>①对装置周围可能的明火、电器火花和撞击火花进行控制管理；严禁危险区内吸烟和违章动用明火；电器设备、仪表选用防爆型；操作人员应按规定穿戴劳保用品，防止静电火花的产生。</w:t>
            </w:r>
          </w:p>
          <w:p>
            <w:pPr>
              <w:bidi w:val="0"/>
              <w:rPr>
                <w:rFonts w:hint="default" w:ascii="Times New Roman" w:hAnsi="Times New Roman" w:cs="Times New Roman"/>
                <w:b w:val="0"/>
                <w:bCs w:val="0"/>
              </w:rPr>
            </w:pPr>
            <w:r>
              <w:rPr>
                <w:rFonts w:hint="default" w:ascii="Times New Roman" w:hAnsi="Times New Roman" w:cs="Times New Roman"/>
                <w:b w:val="0"/>
                <w:bCs w:val="0"/>
              </w:rPr>
              <w:t>②移动式灭火设备</w:t>
            </w:r>
          </w:p>
          <w:p>
            <w:pPr>
              <w:bidi w:val="0"/>
              <w:rPr>
                <w:rFonts w:hint="default" w:ascii="Times New Roman" w:hAnsi="Times New Roman" w:cs="Times New Roman"/>
                <w:b w:val="0"/>
                <w:bCs w:val="0"/>
              </w:rPr>
            </w:pPr>
            <w:r>
              <w:rPr>
                <w:rFonts w:hint="default" w:ascii="Times New Roman" w:hAnsi="Times New Roman" w:cs="Times New Roman"/>
                <w:b w:val="0"/>
                <w:bCs w:val="0"/>
              </w:rPr>
              <w:t>按照《建筑灭火器配置设计规范》（GB50140－2005），对项目区内可能发生火灾的各类场所、工艺装置区、主要建筑物等，根据其火灾危险性、区域大小等实际情况，分别配置一定数量不同类型、不同规格的移动式灭火器材，以便及时扑救初始零星火灾。</w:t>
            </w:r>
          </w:p>
          <w:p>
            <w:pPr>
              <w:bidi w:val="0"/>
              <w:rPr>
                <w:rFonts w:hint="default" w:ascii="Times New Roman" w:hAnsi="Times New Roman" w:cs="Times New Roman"/>
                <w:b w:val="0"/>
                <w:bCs w:val="0"/>
              </w:rPr>
            </w:pPr>
            <w:r>
              <w:rPr>
                <w:rFonts w:hint="default" w:ascii="Times New Roman" w:hAnsi="Times New Roman" w:cs="Times New Roman"/>
                <w:b w:val="0"/>
                <w:bCs w:val="0"/>
              </w:rPr>
              <w:t>③提高员工素质。增强安全意识。建立严格的安全管理制度，杜绝违章动火、吸烟等现象，按规定配备劳动防护用品．经常性地向职工进行安全和健康防护方面的教育。</w:t>
            </w:r>
          </w:p>
          <w:p>
            <w:pPr>
              <w:bidi w:val="0"/>
              <w:rPr>
                <w:rFonts w:hint="default" w:ascii="Times New Roman" w:hAnsi="Times New Roman" w:cs="Times New Roman"/>
                <w:b w:val="0"/>
                <w:bCs w:val="0"/>
              </w:rPr>
            </w:pPr>
            <w:r>
              <w:rPr>
                <w:rFonts w:hint="default" w:ascii="Times New Roman" w:hAnsi="Times New Roman" w:cs="Times New Roman"/>
                <w:b w:val="0"/>
                <w:bCs w:val="0"/>
              </w:rPr>
              <w:t>④项目区内危险区域内的电气设备选型、安装、电力线路敷设等，应符合现行国家标准《爆炸和火灾危险环境电力装置设计规范》GB50058的规定。</w:t>
            </w:r>
          </w:p>
          <w:p>
            <w:pPr>
              <w:bidi w:val="0"/>
              <w:rPr>
                <w:rFonts w:hint="default" w:ascii="Times New Roman" w:hAnsi="Times New Roman" w:cs="Times New Roman"/>
                <w:b w:val="0"/>
                <w:bCs w:val="0"/>
              </w:rPr>
            </w:pPr>
            <w:r>
              <w:rPr>
                <w:rFonts w:hint="default" w:ascii="Times New Roman" w:hAnsi="Times New Roman" w:cs="Times New Roman"/>
                <w:b w:val="0"/>
                <w:bCs w:val="0"/>
              </w:rPr>
              <w:t>⑤设立事故应急及消防水池，在发生事故时紧急处理。</w:t>
            </w:r>
          </w:p>
          <w:p>
            <w:pPr>
              <w:bidi w:val="0"/>
              <w:rPr>
                <w:rFonts w:hint="default" w:ascii="Times New Roman" w:hAnsi="Times New Roman" w:cs="Times New Roman"/>
                <w:b w:val="0"/>
                <w:bCs w:val="0"/>
              </w:rPr>
            </w:pPr>
            <w:r>
              <w:rPr>
                <w:rFonts w:hint="default" w:ascii="Times New Roman" w:hAnsi="Times New Roman" w:cs="Times New Roman"/>
                <w:b w:val="0"/>
                <w:bCs w:val="0"/>
              </w:rPr>
              <w:t>⑥勿在工作现场，使用手机、电话、调频收音机等电子设备，以免产生静电起火；</w:t>
            </w:r>
          </w:p>
          <w:p>
            <w:pPr>
              <w:bidi w:val="0"/>
              <w:rPr>
                <w:rFonts w:hint="default" w:ascii="Times New Roman" w:hAnsi="Times New Roman" w:cs="Times New Roman"/>
                <w:b w:val="0"/>
                <w:bCs w:val="0"/>
              </w:rPr>
            </w:pPr>
            <w:r>
              <w:rPr>
                <w:rFonts w:hint="default" w:ascii="Times New Roman" w:hAnsi="Times New Roman" w:cs="Times New Roman"/>
                <w:b w:val="0"/>
                <w:bCs w:val="0"/>
              </w:rPr>
              <w:t>3）火灾事故防范措施</w:t>
            </w:r>
          </w:p>
          <w:p>
            <w:pPr>
              <w:bidi w:val="0"/>
              <w:rPr>
                <w:rFonts w:hint="default" w:ascii="Times New Roman" w:hAnsi="Times New Roman" w:cs="Times New Roman"/>
                <w:b w:val="0"/>
                <w:bCs w:val="0"/>
              </w:rPr>
            </w:pPr>
            <w:r>
              <w:rPr>
                <w:rFonts w:hint="default" w:ascii="Times New Roman" w:hAnsi="Times New Roman" w:cs="Times New Roman"/>
                <w:b w:val="0"/>
                <w:bCs w:val="0"/>
              </w:rPr>
              <w:t>①废润滑油储存区应设置围堰，防止泄漏外溢；</w:t>
            </w:r>
          </w:p>
          <w:p>
            <w:pPr>
              <w:bidi w:val="0"/>
              <w:rPr>
                <w:rFonts w:hint="default" w:ascii="Times New Roman" w:hAnsi="Times New Roman" w:cs="Times New Roman"/>
                <w:b w:val="0"/>
                <w:bCs w:val="0"/>
              </w:rPr>
            </w:pPr>
            <w:r>
              <w:rPr>
                <w:rFonts w:hint="default" w:ascii="Times New Roman" w:hAnsi="Times New Roman" w:cs="Times New Roman"/>
                <w:b w:val="0"/>
                <w:bCs w:val="0"/>
              </w:rPr>
              <w:t>②车间、储存区域粘贴禁止明火标识牌；</w:t>
            </w:r>
          </w:p>
          <w:p>
            <w:pPr>
              <w:bidi w:val="0"/>
              <w:rPr>
                <w:rFonts w:hint="default" w:ascii="Times New Roman" w:hAnsi="Times New Roman" w:cs="Times New Roman"/>
                <w:b w:val="0"/>
                <w:bCs w:val="0"/>
              </w:rPr>
            </w:pPr>
            <w:r>
              <w:rPr>
                <w:rFonts w:hint="default" w:ascii="Times New Roman" w:hAnsi="Times New Roman" w:cs="Times New Roman"/>
                <w:b w:val="0"/>
                <w:bCs w:val="0"/>
              </w:rPr>
              <w:t>③定期查看有无泄漏情况；</w:t>
            </w:r>
          </w:p>
          <w:p>
            <w:pPr>
              <w:bidi w:val="0"/>
              <w:rPr>
                <w:rFonts w:hint="default" w:ascii="Times New Roman" w:hAnsi="Times New Roman" w:cs="Times New Roman"/>
                <w:b w:val="0"/>
                <w:bCs w:val="0"/>
              </w:rPr>
            </w:pPr>
            <w:r>
              <w:rPr>
                <w:rFonts w:hint="default" w:ascii="Times New Roman" w:hAnsi="Times New Roman" w:cs="Times New Roman"/>
                <w:b w:val="0"/>
                <w:bCs w:val="0"/>
              </w:rPr>
              <w:t>④生产区风险防范措施：配备完善的消防措施，加强安全管理，加强安全生产教育，加强生产安全卫生监督，加强设备、管道、阀门等密封检查与维护等；</w:t>
            </w:r>
          </w:p>
          <w:p>
            <w:pPr>
              <w:bidi w:val="0"/>
              <w:rPr>
                <w:rFonts w:hint="default" w:ascii="Times New Roman" w:hAnsi="Times New Roman" w:cs="Times New Roman"/>
                <w:b w:val="0"/>
                <w:bCs w:val="0"/>
              </w:rPr>
            </w:pPr>
            <w:r>
              <w:rPr>
                <w:rFonts w:hint="default" w:ascii="Times New Roman" w:hAnsi="Times New Roman" w:cs="Times New Roman"/>
                <w:b w:val="0"/>
                <w:bCs w:val="0"/>
              </w:rPr>
              <w:t>⑤项目区按照《建筑灭火器配置设计规范》（GB50140-2010）的要求设置消防设施及灭火器材，灭火器材应放在明显、易取的地方，应定期对消防设施及灭火器材进行检查、维护。</w:t>
            </w:r>
          </w:p>
          <w:p>
            <w:pPr>
              <w:bidi w:val="0"/>
              <w:rPr>
                <w:rFonts w:hint="default" w:ascii="Times New Roman" w:hAnsi="Times New Roman" w:cs="Times New Roman"/>
                <w:b w:val="0"/>
                <w:bCs w:val="0"/>
              </w:rPr>
            </w:pPr>
            <w:r>
              <w:rPr>
                <w:rFonts w:hint="default" w:ascii="Times New Roman" w:hAnsi="Times New Roman" w:cs="Times New Roman"/>
                <w:b w:val="0"/>
                <w:bCs w:val="0"/>
              </w:rPr>
              <w:t>⑥危废暂存间进行防雨、防渗、防流失处理，房间设置明显标识，远离火种、热源。应与氧化剂分开存放，切忌混储。配备相应品种和数量的消防器材，项目产生的废润滑油采用专用收集桶收集后暂存于危废暂存间内，最终交有资质单位集中处理。</w:t>
            </w:r>
          </w:p>
          <w:p>
            <w:pPr>
              <w:bidi w:val="0"/>
              <w:rPr>
                <w:rFonts w:hint="default" w:ascii="Times New Roman" w:hAnsi="Times New Roman" w:cs="Times New Roman"/>
                <w:b w:val="0"/>
                <w:bCs w:val="0"/>
              </w:rPr>
            </w:pPr>
            <w:r>
              <w:rPr>
                <w:rFonts w:hint="default" w:ascii="Times New Roman" w:hAnsi="Times New Roman" w:cs="Times New Roman"/>
                <w:b w:val="0"/>
                <w:bCs w:val="0"/>
              </w:rPr>
              <w:t>⑦若发生火灾事故，会产生消防废液，消防废液禁止外排，经检测后委托有资质单位进行处置。</w:t>
            </w:r>
          </w:p>
          <w:p>
            <w:pPr>
              <w:bidi w:val="0"/>
              <w:rPr>
                <w:rFonts w:hint="default" w:ascii="Times New Roman" w:hAnsi="Times New Roman" w:cs="Times New Roman"/>
                <w:b w:val="0"/>
                <w:bCs w:val="0"/>
              </w:rPr>
            </w:pPr>
            <w:r>
              <w:rPr>
                <w:rFonts w:hint="default" w:ascii="Times New Roman" w:hAnsi="Times New Roman" w:cs="Times New Roman"/>
                <w:b/>
                <w:bCs/>
              </w:rPr>
              <w:t>（3）危险物质泄露</w:t>
            </w:r>
            <w:r>
              <w:rPr>
                <w:rFonts w:hint="default" w:ascii="Times New Roman" w:hAnsi="Times New Roman" w:cs="Times New Roman"/>
                <w:b w:val="0"/>
                <w:bCs w:val="0"/>
              </w:rPr>
              <w:t>：</w:t>
            </w:r>
          </w:p>
          <w:p>
            <w:pPr>
              <w:bidi w:val="0"/>
              <w:rPr>
                <w:rFonts w:hint="default" w:ascii="Times New Roman" w:hAnsi="Times New Roman" w:cs="Times New Roman"/>
                <w:b w:val="0"/>
                <w:bCs w:val="0"/>
              </w:rPr>
            </w:pPr>
            <w:r>
              <w:rPr>
                <w:rFonts w:hint="default" w:ascii="Times New Roman" w:hAnsi="Times New Roman" w:cs="Times New Roman"/>
                <w:b w:val="0"/>
                <w:bCs w:val="0"/>
              </w:rPr>
              <w:t>①仓库、危废暂存间应做好防渗防腐处理，避免硬底化被破坏导致下渗；</w:t>
            </w:r>
          </w:p>
          <w:p>
            <w:pPr>
              <w:bidi w:val="0"/>
              <w:rPr>
                <w:rFonts w:hint="default" w:ascii="Times New Roman" w:hAnsi="Times New Roman" w:cs="Times New Roman"/>
                <w:b w:val="0"/>
                <w:bCs w:val="0"/>
              </w:rPr>
            </w:pPr>
            <w:r>
              <w:rPr>
                <w:rFonts w:hint="default" w:ascii="Times New Roman" w:hAnsi="Times New Roman" w:cs="Times New Roman"/>
                <w:b w:val="0"/>
                <w:bCs w:val="0"/>
              </w:rPr>
              <w:t>②定期检查危险物质存储的安全状态，定期检查其包装有无破损，以防止泄露。</w:t>
            </w:r>
          </w:p>
          <w:p>
            <w:pPr>
              <w:bidi w:val="0"/>
              <w:rPr>
                <w:rFonts w:hint="default" w:ascii="Times New Roman" w:hAnsi="Times New Roman" w:cs="Times New Roman"/>
                <w:b/>
                <w:bCs/>
              </w:rPr>
            </w:pPr>
            <w:r>
              <w:rPr>
                <w:rFonts w:hint="default" w:ascii="Times New Roman" w:hAnsi="Times New Roman" w:cs="Times New Roman"/>
                <w:b/>
                <w:bCs/>
              </w:rPr>
              <w:t>废气事故排放：</w:t>
            </w:r>
          </w:p>
          <w:p>
            <w:pPr>
              <w:bidi w:val="0"/>
              <w:rPr>
                <w:rFonts w:hint="default" w:ascii="Times New Roman" w:hAnsi="Times New Roman" w:cs="Times New Roman"/>
                <w:b w:val="0"/>
                <w:bCs w:val="0"/>
              </w:rPr>
            </w:pPr>
            <w:r>
              <w:rPr>
                <w:rFonts w:hint="default" w:ascii="Times New Roman" w:hAnsi="Times New Roman" w:cs="Times New Roman"/>
                <w:b w:val="0"/>
                <w:bCs w:val="0"/>
              </w:rPr>
              <w:t>①加强废气治理设施的日常维护管理，确保废气治理系统处在良好的运转状态；</w:t>
            </w:r>
          </w:p>
          <w:p>
            <w:pPr>
              <w:bidi w:val="0"/>
              <w:rPr>
                <w:rFonts w:hint="default" w:ascii="Times New Roman" w:hAnsi="Times New Roman" w:cs="Times New Roman"/>
                <w:b w:val="0"/>
                <w:bCs w:val="0"/>
              </w:rPr>
            </w:pPr>
            <w:r>
              <w:rPr>
                <w:rFonts w:hint="default" w:ascii="Times New Roman" w:hAnsi="Times New Roman" w:cs="Times New Roman"/>
                <w:b w:val="0"/>
                <w:bCs w:val="0"/>
              </w:rPr>
              <w:t>②委托有资质的监测机构定期对废气排放口监测，掌握污染物的排放情况，建立废气治理措施运行台账管理制度，杜绝废气事故排放。</w:t>
            </w:r>
          </w:p>
          <w:p>
            <w:pPr>
              <w:bidi w:val="0"/>
              <w:rPr>
                <w:rFonts w:hint="default" w:ascii="Times New Roman" w:hAnsi="Times New Roman" w:cs="Times New Roman"/>
                <w:b w:val="0"/>
                <w:bCs w:val="0"/>
              </w:rPr>
            </w:pPr>
            <w:r>
              <w:rPr>
                <w:rFonts w:hint="default" w:ascii="Times New Roman" w:hAnsi="Times New Roman" w:cs="Times New Roman"/>
                <w:b w:val="0"/>
                <w:bCs w:val="0"/>
              </w:rPr>
              <w:t>项目建设、运营过程中应加强管理，搞好劳动保护，采取积极的风险防范措施，降低事故发生的概率。本评价认为，只要采取环评提出的防范措施，在事故发生时依照应急预案及时处理，拟建项目造成的风险是可控制的。</w:t>
            </w:r>
          </w:p>
          <w:p>
            <w:pPr>
              <w:bidi w:val="0"/>
              <w:rPr>
                <w:rFonts w:hint="default" w:ascii="Times New Roman" w:hAnsi="Times New Roman" w:cs="Times New Roman"/>
                <w:b/>
                <w:bCs/>
              </w:rPr>
            </w:pPr>
            <w:r>
              <w:rPr>
                <w:rFonts w:hint="default" w:ascii="Times New Roman" w:hAnsi="Times New Roman" w:cs="Times New Roman"/>
                <w:b/>
                <w:bCs/>
              </w:rPr>
              <w:t>（4）事故应急预案</w:t>
            </w:r>
          </w:p>
          <w:p>
            <w:pPr>
              <w:bidi w:val="0"/>
              <w:rPr>
                <w:rFonts w:hint="default" w:ascii="Times New Roman" w:hAnsi="Times New Roman" w:cs="Times New Roman"/>
                <w:b w:val="0"/>
                <w:bCs w:val="0"/>
              </w:rPr>
            </w:pPr>
            <w:r>
              <w:rPr>
                <w:rFonts w:hint="default" w:ascii="Times New Roman" w:hAnsi="Times New Roman" w:cs="Times New Roman"/>
                <w:b w:val="0"/>
                <w:bCs w:val="0"/>
              </w:rPr>
              <w:t>针对以上的事故，为保证项目内部、社会及人民生命财产的安全，防止突发性重大化学危险品事故发生，在事故发生后迅速有效控制处理，防止事故蔓延、扩大，积极组织抢救、抢险、抢修，发挥各职能部门、社会力量的作用，使事故发生的损失减少到最低限度，总结经验，吸取教训，防患于未然。</w:t>
            </w:r>
          </w:p>
          <w:p>
            <w:pPr>
              <w:bidi w:val="0"/>
              <w:rPr>
                <w:rFonts w:hint="default" w:ascii="Times New Roman" w:hAnsi="Times New Roman" w:cs="Times New Roman"/>
                <w:b w:val="0"/>
                <w:bCs w:val="0"/>
              </w:rPr>
            </w:pPr>
            <w:r>
              <w:rPr>
                <w:rFonts w:hint="default" w:ascii="Times New Roman" w:hAnsi="Times New Roman" w:cs="Times New Roman"/>
                <w:b w:val="0"/>
                <w:bCs w:val="0"/>
              </w:rPr>
              <w:t>根据本环境风险分析的结果，按照《云南省企业单位突发环境事件应急预案指导目录和编制要点（试行）》对于本项目可能造成环境风险的突发性事故制定应急预案，见下表，供项目决策人参考。</w:t>
            </w:r>
          </w:p>
          <w:p>
            <w:pPr>
              <w:pStyle w:val="36"/>
              <w:bidi w:val="0"/>
              <w:rPr>
                <w:rFonts w:hint="default" w:ascii="Times New Roman" w:hAnsi="Times New Roman" w:cs="Times New Roman"/>
              </w:rPr>
            </w:pPr>
            <w:r>
              <w:rPr>
                <w:rFonts w:hint="default" w:ascii="Times New Roman" w:hAnsi="Times New Roman" w:cs="Times New Roman"/>
              </w:rPr>
              <w:t>表4-</w:t>
            </w:r>
            <w:r>
              <w:rPr>
                <w:rFonts w:hint="default" w:ascii="Times New Roman" w:hAnsi="Times New Roman" w:cs="Times New Roman"/>
                <w:lang w:val="en-US" w:eastAsia="zh-CN"/>
              </w:rPr>
              <w:t>20</w:t>
            </w:r>
            <w:r>
              <w:rPr>
                <w:rFonts w:hint="default" w:ascii="Times New Roman" w:hAnsi="Times New Roman" w:cs="Times New Roman"/>
              </w:rPr>
              <w:t>突发事故应急预案</w:t>
            </w:r>
          </w:p>
          <w:tbl>
            <w:tblPr>
              <w:tblStyle w:val="98"/>
              <w:tblW w:w="851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45"/>
              <w:gridCol w:w="2112"/>
              <w:gridCol w:w="58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45"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序号</w:t>
                  </w:r>
                </w:p>
              </w:tc>
              <w:tc>
                <w:tcPr>
                  <w:tcW w:w="2112"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项目</w:t>
                  </w:r>
                </w:p>
              </w:tc>
              <w:tc>
                <w:tcPr>
                  <w:tcW w:w="5859"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内容及要求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45"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1</w:t>
                  </w:r>
                </w:p>
              </w:tc>
              <w:tc>
                <w:tcPr>
                  <w:tcW w:w="2112"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危险源情况</w:t>
                  </w:r>
                </w:p>
              </w:tc>
              <w:tc>
                <w:tcPr>
                  <w:tcW w:w="5859"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详细说明危险源类型、数量、分布及其对环境的风险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45"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2</w:t>
                  </w:r>
                </w:p>
              </w:tc>
              <w:tc>
                <w:tcPr>
                  <w:tcW w:w="2112"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应急计划区</w:t>
                  </w:r>
                </w:p>
              </w:tc>
              <w:tc>
                <w:tcPr>
                  <w:tcW w:w="5859"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项目区厂内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545" w:type="dxa"/>
                  <w:vAlign w:val="center"/>
                </w:tcPr>
                <w:p>
                  <w:pPr>
                    <w:pStyle w:val="45"/>
                    <w:bidi w:val="0"/>
                    <w:jc w:val="center"/>
                    <w:rPr>
                      <w:rFonts w:hint="default" w:ascii="Times New Roman" w:hAnsi="Times New Roman" w:cs="Times New Roman"/>
                    </w:rPr>
                  </w:pPr>
                </w:p>
                <w:p>
                  <w:pPr>
                    <w:pStyle w:val="45"/>
                    <w:bidi w:val="0"/>
                    <w:jc w:val="center"/>
                    <w:rPr>
                      <w:rFonts w:hint="default" w:ascii="Times New Roman" w:hAnsi="Times New Roman" w:cs="Times New Roman"/>
                    </w:rPr>
                  </w:pPr>
                </w:p>
                <w:p>
                  <w:pPr>
                    <w:pStyle w:val="45"/>
                    <w:bidi w:val="0"/>
                    <w:jc w:val="center"/>
                    <w:rPr>
                      <w:rFonts w:hint="default" w:ascii="Times New Roman" w:hAnsi="Times New Roman" w:cs="Times New Roman"/>
                    </w:rPr>
                  </w:pPr>
                </w:p>
                <w:p>
                  <w:pPr>
                    <w:pStyle w:val="45"/>
                    <w:bidi w:val="0"/>
                    <w:jc w:val="center"/>
                    <w:rPr>
                      <w:rFonts w:hint="default" w:ascii="Times New Roman" w:hAnsi="Times New Roman" w:cs="Times New Roman"/>
                    </w:rPr>
                  </w:pPr>
                  <w:r>
                    <w:rPr>
                      <w:rFonts w:hint="default" w:ascii="Times New Roman" w:hAnsi="Times New Roman" w:cs="Times New Roman"/>
                    </w:rPr>
                    <w:t>3</w:t>
                  </w:r>
                </w:p>
              </w:tc>
              <w:tc>
                <w:tcPr>
                  <w:tcW w:w="2112" w:type="dxa"/>
                  <w:vAlign w:val="center"/>
                </w:tcPr>
                <w:p>
                  <w:pPr>
                    <w:pStyle w:val="45"/>
                    <w:bidi w:val="0"/>
                    <w:jc w:val="center"/>
                    <w:rPr>
                      <w:rFonts w:hint="default" w:ascii="Times New Roman" w:hAnsi="Times New Roman" w:cs="Times New Roman"/>
                    </w:rPr>
                  </w:pPr>
                </w:p>
                <w:p>
                  <w:pPr>
                    <w:pStyle w:val="45"/>
                    <w:bidi w:val="0"/>
                    <w:jc w:val="center"/>
                    <w:rPr>
                      <w:rFonts w:hint="default" w:ascii="Times New Roman" w:hAnsi="Times New Roman" w:cs="Times New Roman"/>
                    </w:rPr>
                  </w:pPr>
                </w:p>
                <w:p>
                  <w:pPr>
                    <w:pStyle w:val="45"/>
                    <w:bidi w:val="0"/>
                    <w:jc w:val="center"/>
                    <w:rPr>
                      <w:rFonts w:hint="default" w:ascii="Times New Roman" w:hAnsi="Times New Roman" w:cs="Times New Roman"/>
                    </w:rPr>
                  </w:pPr>
                </w:p>
                <w:p>
                  <w:pPr>
                    <w:pStyle w:val="45"/>
                    <w:bidi w:val="0"/>
                    <w:jc w:val="center"/>
                    <w:rPr>
                      <w:rFonts w:hint="default" w:ascii="Times New Roman" w:hAnsi="Times New Roman" w:cs="Times New Roman"/>
                    </w:rPr>
                  </w:pPr>
                  <w:r>
                    <w:rPr>
                      <w:rFonts w:hint="default" w:ascii="Times New Roman" w:hAnsi="Times New Roman" w:cs="Times New Roman"/>
                    </w:rPr>
                    <w:t>应急组织机构、人员</w:t>
                  </w:r>
                </w:p>
              </w:tc>
              <w:tc>
                <w:tcPr>
                  <w:tcW w:w="5859"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企业：成立企业应急指挥小组，由总经理担任组长，负责现场全面指挥，专业救援队伍负责事故控制、救援和善后处理。现场应急指挥部：当现场指挥丧失指挥职能时，企业应急指挥中心应立即指挥或现场最高领导接替。</w:t>
                  </w:r>
                </w:p>
                <w:p>
                  <w:pPr>
                    <w:pStyle w:val="45"/>
                    <w:bidi w:val="0"/>
                    <w:jc w:val="center"/>
                    <w:rPr>
                      <w:rFonts w:hint="default" w:ascii="Times New Roman" w:hAnsi="Times New Roman" w:cs="Times New Roman"/>
                    </w:rPr>
                  </w:pPr>
                  <w:r>
                    <w:rPr>
                      <w:rFonts w:hint="default" w:ascii="Times New Roman" w:hAnsi="Times New Roman" w:cs="Times New Roman"/>
                    </w:rPr>
                    <w:t>专家组：根据应急工作的实际需要，企业应急指挥中心向当地</w:t>
                  </w:r>
                </w:p>
                <w:p>
                  <w:pPr>
                    <w:pStyle w:val="45"/>
                    <w:bidi w:val="0"/>
                    <w:jc w:val="center"/>
                    <w:rPr>
                      <w:rFonts w:hint="default" w:ascii="Times New Roman" w:hAnsi="Times New Roman" w:cs="Times New Roman"/>
                    </w:rPr>
                  </w:pPr>
                  <w:r>
                    <w:rPr>
                      <w:rFonts w:hint="default" w:ascii="Times New Roman" w:hAnsi="Times New Roman" w:cs="Times New Roman"/>
                    </w:rPr>
                    <w:t>环保或安监部门请求委派有关专家，前往应急现场指导应急处理工作。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5"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4</w:t>
                  </w:r>
                </w:p>
              </w:tc>
              <w:tc>
                <w:tcPr>
                  <w:tcW w:w="2112"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预案分级响应条件</w:t>
                  </w:r>
                </w:p>
              </w:tc>
              <w:tc>
                <w:tcPr>
                  <w:tcW w:w="5859"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规定环境风险事故的级别及相应的应急状态分类，以此制定相应的应急响应程序。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545"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5</w:t>
                  </w:r>
                </w:p>
              </w:tc>
              <w:tc>
                <w:tcPr>
                  <w:tcW w:w="2112"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应急救援保障</w:t>
                  </w:r>
                </w:p>
              </w:tc>
              <w:tc>
                <w:tcPr>
                  <w:tcW w:w="5859"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生产区：防火灾等事故的应急设施、设备与材料，主要为消防器材、消防服等；中毒人员急救所用的一些药品、器材。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545"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6</w:t>
                  </w:r>
                </w:p>
              </w:tc>
              <w:tc>
                <w:tcPr>
                  <w:tcW w:w="2112"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报警、通讯联络方式</w:t>
                  </w:r>
                </w:p>
              </w:tc>
              <w:tc>
                <w:tcPr>
                  <w:tcW w:w="5859"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规定应急状态下的通讯、联系方式并进行备案等。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45" w:type="dxa"/>
                  <w:vAlign w:val="center"/>
                </w:tcPr>
                <w:p>
                  <w:pPr>
                    <w:pStyle w:val="45"/>
                    <w:bidi w:val="0"/>
                    <w:jc w:val="center"/>
                    <w:rPr>
                      <w:rFonts w:hint="default" w:ascii="Times New Roman" w:hAnsi="Times New Roman" w:cs="Times New Roman"/>
                    </w:rPr>
                  </w:pPr>
                </w:p>
                <w:p>
                  <w:pPr>
                    <w:pStyle w:val="45"/>
                    <w:bidi w:val="0"/>
                    <w:jc w:val="center"/>
                    <w:rPr>
                      <w:rFonts w:hint="default" w:ascii="Times New Roman" w:hAnsi="Times New Roman" w:cs="Times New Roman"/>
                    </w:rPr>
                  </w:pPr>
                  <w:r>
                    <w:rPr>
                      <w:rFonts w:hint="default" w:ascii="Times New Roman" w:hAnsi="Times New Roman" w:cs="Times New Roman"/>
                    </w:rPr>
                    <w:t>7</w:t>
                  </w:r>
                </w:p>
              </w:tc>
              <w:tc>
                <w:tcPr>
                  <w:tcW w:w="2112"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应急环境监测、抢险、救援及控制措施</w:t>
                  </w:r>
                </w:p>
              </w:tc>
              <w:tc>
                <w:tcPr>
                  <w:tcW w:w="5859"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由专业人员对环境分析事故现场进行应急监测，对事故性质、</w:t>
                  </w:r>
                </w:p>
                <w:p>
                  <w:pPr>
                    <w:pStyle w:val="45"/>
                    <w:bidi w:val="0"/>
                    <w:jc w:val="center"/>
                    <w:rPr>
                      <w:rFonts w:hint="default" w:ascii="Times New Roman" w:hAnsi="Times New Roman" w:cs="Times New Roman"/>
                    </w:rPr>
                  </w:pPr>
                  <w:r>
                    <w:rPr>
                      <w:rFonts w:hint="default" w:ascii="Times New Roman" w:hAnsi="Times New Roman" w:cs="Times New Roman"/>
                    </w:rPr>
                    <w:t>严重程度均所造成的环境危害后果进行评估，吸取经验教训避免再次发生事故，为指挥部门提供决策依据。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45" w:type="dxa"/>
                  <w:vAlign w:val="center"/>
                </w:tcPr>
                <w:p>
                  <w:pPr>
                    <w:pStyle w:val="45"/>
                    <w:bidi w:val="0"/>
                    <w:jc w:val="center"/>
                    <w:rPr>
                      <w:rFonts w:hint="default" w:ascii="Times New Roman" w:hAnsi="Times New Roman" w:cs="Times New Roman"/>
                    </w:rPr>
                  </w:pPr>
                </w:p>
                <w:p>
                  <w:pPr>
                    <w:pStyle w:val="45"/>
                    <w:bidi w:val="0"/>
                    <w:jc w:val="center"/>
                    <w:rPr>
                      <w:rFonts w:hint="default" w:ascii="Times New Roman" w:hAnsi="Times New Roman" w:cs="Times New Roman"/>
                    </w:rPr>
                  </w:pPr>
                  <w:r>
                    <w:rPr>
                      <w:rFonts w:hint="default" w:ascii="Times New Roman" w:hAnsi="Times New Roman" w:cs="Times New Roman"/>
                    </w:rPr>
                    <w:t>8</w:t>
                  </w:r>
                </w:p>
              </w:tc>
              <w:tc>
                <w:tcPr>
                  <w:tcW w:w="2112" w:type="dxa"/>
                  <w:vAlign w:val="center"/>
                </w:tcPr>
                <w:p>
                  <w:pPr>
                    <w:pStyle w:val="45"/>
                    <w:bidi w:val="0"/>
                    <w:jc w:val="center"/>
                    <w:rPr>
                      <w:rFonts w:hint="default" w:ascii="Times New Roman" w:hAnsi="Times New Roman" w:cs="Times New Roman"/>
                    </w:rPr>
                  </w:pPr>
                </w:p>
                <w:p>
                  <w:pPr>
                    <w:pStyle w:val="45"/>
                    <w:bidi w:val="0"/>
                    <w:jc w:val="center"/>
                    <w:rPr>
                      <w:rFonts w:hint="default" w:ascii="Times New Roman" w:hAnsi="Times New Roman" w:cs="Times New Roman"/>
                    </w:rPr>
                  </w:pPr>
                  <w:r>
                    <w:rPr>
                      <w:rFonts w:hint="default" w:ascii="Times New Roman" w:hAnsi="Times New Roman" w:cs="Times New Roman"/>
                    </w:rPr>
                    <w:t>应急检测、防护措施、清除泄漏措施和器材</w:t>
                  </w:r>
                </w:p>
              </w:tc>
              <w:tc>
                <w:tcPr>
                  <w:tcW w:w="5859"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事故现场：控制事故发展，防止扩大、蔓延及连锁反应；清除现场泄泥物，降低危害；相应的设施器材配备；</w:t>
                  </w:r>
                </w:p>
                <w:p>
                  <w:pPr>
                    <w:pStyle w:val="45"/>
                    <w:bidi w:val="0"/>
                    <w:jc w:val="center"/>
                    <w:rPr>
                      <w:rFonts w:hint="default" w:ascii="Times New Roman" w:hAnsi="Times New Roman" w:cs="Times New Roman"/>
                    </w:rPr>
                  </w:pPr>
                  <w:r>
                    <w:rPr>
                      <w:rFonts w:hint="default" w:ascii="Times New Roman" w:hAnsi="Times New Roman" w:cs="Times New Roman"/>
                    </w:rPr>
                    <w:t>临近地区：控制防火区域，控制和消除环境污染的措施及相应的设备配备。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45" w:type="dxa"/>
                  <w:vAlign w:val="center"/>
                </w:tcPr>
                <w:p>
                  <w:pPr>
                    <w:pStyle w:val="45"/>
                    <w:bidi w:val="0"/>
                    <w:jc w:val="center"/>
                    <w:rPr>
                      <w:rFonts w:hint="default" w:ascii="Times New Roman" w:hAnsi="Times New Roman" w:cs="Times New Roman"/>
                    </w:rPr>
                  </w:pPr>
                </w:p>
                <w:p>
                  <w:pPr>
                    <w:pStyle w:val="45"/>
                    <w:bidi w:val="0"/>
                    <w:jc w:val="center"/>
                    <w:rPr>
                      <w:rFonts w:hint="default" w:ascii="Times New Roman" w:hAnsi="Times New Roman" w:cs="Times New Roman"/>
                    </w:rPr>
                  </w:pPr>
                  <w:r>
                    <w:rPr>
                      <w:rFonts w:hint="default" w:ascii="Times New Roman" w:hAnsi="Times New Roman" w:cs="Times New Roman"/>
                    </w:rPr>
                    <w:t>9</w:t>
                  </w:r>
                </w:p>
              </w:tc>
              <w:tc>
                <w:tcPr>
                  <w:tcW w:w="2112"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人员紧急撤离、疏散，</w:t>
                  </w:r>
                </w:p>
                <w:p>
                  <w:pPr>
                    <w:pStyle w:val="45"/>
                    <w:bidi w:val="0"/>
                    <w:jc w:val="center"/>
                    <w:rPr>
                      <w:rFonts w:hint="default" w:ascii="Times New Roman" w:hAnsi="Times New Roman" w:cs="Times New Roman"/>
                    </w:rPr>
                  </w:pPr>
                  <w:r>
                    <w:rPr>
                      <w:rFonts w:hint="default" w:ascii="Times New Roman" w:hAnsi="Times New Roman" w:cs="Times New Roman"/>
                    </w:rPr>
                    <w:t>应急剂量控制、撤离</w:t>
                  </w:r>
                </w:p>
                <w:p>
                  <w:pPr>
                    <w:pStyle w:val="45"/>
                    <w:bidi w:val="0"/>
                    <w:jc w:val="center"/>
                    <w:rPr>
                      <w:rFonts w:hint="default" w:ascii="Times New Roman" w:hAnsi="Times New Roman" w:cs="Times New Roman"/>
                    </w:rPr>
                  </w:pPr>
                  <w:r>
                    <w:rPr>
                      <w:rFonts w:hint="default" w:ascii="Times New Roman" w:hAnsi="Times New Roman" w:cs="Times New Roman"/>
                    </w:rPr>
                    <w:t>组织计划</w:t>
                  </w:r>
                </w:p>
              </w:tc>
              <w:tc>
                <w:tcPr>
                  <w:tcW w:w="5859"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事故现场：事故处理人员制定毒物的应急剂量、现场及临近装置人员的撤离组织计划和紧急救护方案；</w:t>
                  </w:r>
                </w:p>
                <w:p>
                  <w:pPr>
                    <w:pStyle w:val="45"/>
                    <w:bidi w:val="0"/>
                    <w:jc w:val="center"/>
                    <w:rPr>
                      <w:rFonts w:hint="default" w:ascii="Times New Roman" w:hAnsi="Times New Roman" w:cs="Times New Roman"/>
                    </w:rPr>
                  </w:pPr>
                  <w:r>
                    <w:rPr>
                      <w:rFonts w:hint="default" w:ascii="Times New Roman" w:hAnsi="Times New Roman" w:cs="Times New Roman"/>
                    </w:rPr>
                    <w:t>临近地区：制定受事故影响的临近地区内人员对毒物的应急剂量、公众的疏散组织计划和紧急救护方案。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45" w:type="dxa"/>
                  <w:vAlign w:val="center"/>
                </w:tcPr>
                <w:p>
                  <w:pPr>
                    <w:pStyle w:val="45"/>
                    <w:bidi w:val="0"/>
                    <w:jc w:val="center"/>
                    <w:rPr>
                      <w:rFonts w:hint="default" w:ascii="Times New Roman" w:hAnsi="Times New Roman" w:cs="Times New Roman"/>
                    </w:rPr>
                  </w:pPr>
                </w:p>
                <w:p>
                  <w:pPr>
                    <w:pStyle w:val="45"/>
                    <w:bidi w:val="0"/>
                    <w:jc w:val="center"/>
                    <w:rPr>
                      <w:rFonts w:hint="default" w:ascii="Times New Roman" w:hAnsi="Times New Roman" w:cs="Times New Roman"/>
                    </w:rPr>
                  </w:pPr>
                  <w:r>
                    <w:rPr>
                      <w:rFonts w:hint="default" w:ascii="Times New Roman" w:hAnsi="Times New Roman" w:cs="Times New Roman"/>
                    </w:rPr>
                    <w:t>10</w:t>
                  </w:r>
                </w:p>
              </w:tc>
              <w:tc>
                <w:tcPr>
                  <w:tcW w:w="2112"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事故应急救援关闭程序与恢复措施</w:t>
                  </w:r>
                </w:p>
              </w:tc>
              <w:tc>
                <w:tcPr>
                  <w:tcW w:w="5859"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事故现场：规定应急状态终止秩序；事故现场善后处理，恢复生产措施；</w:t>
                  </w:r>
                </w:p>
                <w:p>
                  <w:pPr>
                    <w:pStyle w:val="45"/>
                    <w:bidi w:val="0"/>
                    <w:jc w:val="center"/>
                    <w:rPr>
                      <w:rFonts w:hint="default" w:ascii="Times New Roman" w:hAnsi="Times New Roman" w:cs="Times New Roman"/>
                    </w:rPr>
                  </w:pPr>
                  <w:r>
                    <w:rPr>
                      <w:rFonts w:hint="default" w:ascii="Times New Roman" w:hAnsi="Times New Roman" w:cs="Times New Roman"/>
                    </w:rPr>
                    <w:t>临近地区：解除事故警戒，公众返回和善后回复措施。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45"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11</w:t>
                  </w:r>
                </w:p>
              </w:tc>
              <w:tc>
                <w:tcPr>
                  <w:tcW w:w="2112"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应急培训计划</w:t>
                  </w:r>
                </w:p>
              </w:tc>
              <w:tc>
                <w:tcPr>
                  <w:tcW w:w="5859"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应急计划制定后，应定时对员工进行相关知识培训并进行事故应急处理演习；对员工进行安全卫生教育。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45"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12</w:t>
                  </w:r>
                </w:p>
              </w:tc>
              <w:tc>
                <w:tcPr>
                  <w:tcW w:w="2112"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公众教育和信息</w:t>
                  </w:r>
                </w:p>
              </w:tc>
              <w:tc>
                <w:tcPr>
                  <w:tcW w:w="5859" w:type="dxa"/>
                  <w:vAlign w:val="center"/>
                </w:tcPr>
                <w:p>
                  <w:pPr>
                    <w:pStyle w:val="45"/>
                    <w:bidi w:val="0"/>
                    <w:jc w:val="center"/>
                    <w:rPr>
                      <w:rFonts w:hint="default" w:ascii="Times New Roman" w:hAnsi="Times New Roman" w:cs="Times New Roman"/>
                    </w:rPr>
                  </w:pPr>
                  <w:r>
                    <w:rPr>
                      <w:rFonts w:hint="default" w:ascii="Times New Roman" w:hAnsi="Times New Roman" w:cs="Times New Roman"/>
                    </w:rPr>
                    <w:t>对加油区临近地区公众开展环境风险事故预防教育、应急知识培训并定期发布相关信息。</w:t>
                  </w:r>
                </w:p>
              </w:tc>
            </w:tr>
          </w:tbl>
          <w:p>
            <w:pPr>
              <w:bidi w:val="0"/>
              <w:rPr>
                <w:rFonts w:hint="default" w:ascii="Times New Roman" w:hAnsi="Times New Roman" w:cs="Times New Roman"/>
                <w:b w:val="0"/>
                <w:bCs w:val="0"/>
              </w:rPr>
            </w:pPr>
            <w:r>
              <w:rPr>
                <w:rFonts w:hint="default" w:ascii="Times New Roman" w:hAnsi="Times New Roman" w:cs="Times New Roman"/>
                <w:b w:val="0"/>
                <w:bCs w:val="0"/>
              </w:rPr>
              <w:t>根据本项目环境风险分析的结果，按照《云南省企业单位突发环境事件应急预案指导目录和编制要点（试行）》，项目方须对于本项目可能造成环境风险的突发性事故制定应急预案，在通过审核后，及时到有关单位进行备案。</w:t>
            </w:r>
          </w:p>
          <w:p>
            <w:pPr>
              <w:bidi w:val="0"/>
              <w:rPr>
                <w:rFonts w:hint="default" w:ascii="Times New Roman" w:hAnsi="Times New Roman" w:cs="Times New Roman"/>
              </w:rPr>
            </w:pPr>
            <w:r>
              <w:rPr>
                <w:rFonts w:hint="default" w:ascii="Times New Roman" w:hAnsi="Times New Roman" w:cs="Times New Roman"/>
              </w:rPr>
              <w:t>八、分析结论</w:t>
            </w:r>
          </w:p>
          <w:p>
            <w:pPr>
              <w:bidi w:val="0"/>
              <w:rPr>
                <w:rFonts w:hint="default" w:ascii="Times New Roman" w:hAnsi="Times New Roman" w:cs="Times New Roman"/>
              </w:rPr>
            </w:pPr>
            <w:r>
              <w:rPr>
                <w:rFonts w:hint="default" w:ascii="Times New Roman" w:hAnsi="Times New Roman" w:cs="Times New Roman"/>
              </w:rPr>
              <w:t>本项目风险评价工作等级为简单分析，环境风险主要为风险废物泄露污染水体和土壤，或遇明火、高热可能发生火灾、爆炸等潜在风险。企业在采取有针对性的环境风险防范措施，并在风险事故发生后，及时采取相应应急措施以及应急预案的基础上，环境风险可防控。</w:t>
            </w:r>
          </w:p>
          <w:p>
            <w:pPr>
              <w:bidi w:val="0"/>
              <w:rPr>
                <w:rFonts w:hint="default" w:ascii="Times New Roman" w:hAnsi="Times New Roman" w:cs="Times New Roman"/>
              </w:rPr>
            </w:pPr>
            <w:r>
              <w:rPr>
                <w:rFonts w:hint="default" w:ascii="Times New Roman" w:hAnsi="Times New Roman" w:cs="Times New Roman"/>
              </w:rPr>
              <w:t>建设项目环境风险简单分析内容表见表4</w:t>
            </w:r>
            <w:r>
              <w:rPr>
                <w:rFonts w:hint="default" w:ascii="Times New Roman" w:hAnsi="Times New Roman" w:cs="Times New Roman"/>
                <w:lang w:val="en-US" w:eastAsia="zh-CN"/>
              </w:rPr>
              <w:t>-21</w:t>
            </w:r>
            <w:r>
              <w:rPr>
                <w:rFonts w:hint="default" w:ascii="Times New Roman" w:hAnsi="Times New Roman" w:cs="Times New Roman"/>
              </w:rPr>
              <w:t>。项目环境风险评价自查表见附表三。</w:t>
            </w:r>
          </w:p>
          <w:p>
            <w:pPr>
              <w:pStyle w:val="36"/>
              <w:bidi w:val="0"/>
              <w:rPr>
                <w:rFonts w:hint="default" w:ascii="Times New Roman" w:hAnsi="Times New Roman" w:cs="Times New Roman"/>
              </w:rPr>
            </w:pPr>
            <w:r>
              <w:rPr>
                <w:rFonts w:hint="default" w:ascii="Times New Roman" w:hAnsi="Times New Roman" w:cs="Times New Roman"/>
              </w:rPr>
              <w:t>表4-2</w:t>
            </w:r>
            <w:r>
              <w:rPr>
                <w:rFonts w:hint="default" w:ascii="Times New Roman" w:hAnsi="Times New Roman" w:cs="Times New Roman"/>
                <w:lang w:val="en-US" w:eastAsia="zh-CN"/>
              </w:rPr>
              <w:t>1</w:t>
            </w:r>
            <w:r>
              <w:rPr>
                <w:rFonts w:hint="default" w:ascii="Times New Roman" w:hAnsi="Times New Roman" w:cs="Times New Roman"/>
              </w:rPr>
              <w:t>环境风险简单分析内容表</w:t>
            </w:r>
          </w:p>
          <w:tbl>
            <w:tblPr>
              <w:tblStyle w:val="98"/>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29"/>
              <w:gridCol w:w="1247"/>
              <w:gridCol w:w="1209"/>
              <w:gridCol w:w="955"/>
              <w:gridCol w:w="1984"/>
              <w:gridCol w:w="20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06" w:type="pct"/>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建设项目名称</w:t>
                  </w:r>
                </w:p>
              </w:tc>
              <w:tc>
                <w:tcPr>
                  <w:tcW w:w="4393" w:type="pct"/>
                  <w:gridSpan w:val="5"/>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color w:val="auto"/>
                      <w:szCs w:val="21"/>
                      <w:lang w:eastAsia="zh-CN"/>
                    </w:rPr>
                    <w:t>云南鑫多新型材料有限公司年产55万㎡中空玻璃改扩建项目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06" w:type="pct"/>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建设地点</w:t>
                  </w:r>
                </w:p>
              </w:tc>
              <w:tc>
                <w:tcPr>
                  <w:tcW w:w="734" w:type="pct"/>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（云南）省</w:t>
                  </w:r>
                </w:p>
              </w:tc>
              <w:tc>
                <w:tcPr>
                  <w:tcW w:w="712" w:type="pct"/>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（玉溪）市</w:t>
                  </w:r>
                </w:p>
              </w:tc>
              <w:tc>
                <w:tcPr>
                  <w:tcW w:w="562" w:type="pct"/>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（澄江）市</w:t>
                  </w:r>
                </w:p>
              </w:tc>
              <w:tc>
                <w:tcPr>
                  <w:tcW w:w="1168" w:type="pct"/>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lang w:eastAsia="zh-CN"/>
                    </w:rPr>
                    <w:t>云南鑫成鹏高分子科技有限公司</w:t>
                  </w:r>
                  <w:r>
                    <w:rPr>
                      <w:rFonts w:hint="default" w:ascii="Times New Roman" w:hAnsi="Times New Roman" w:cs="Times New Roman"/>
                      <w:b w:val="0"/>
                      <w:bCs/>
                    </w:rPr>
                    <w:t>的厂区内</w:t>
                  </w:r>
                </w:p>
              </w:tc>
              <w:tc>
                <w:tcPr>
                  <w:tcW w:w="1215" w:type="pct"/>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w:t>
                  </w:r>
                  <w:r>
                    <w:rPr>
                      <w:rFonts w:hint="default" w:ascii="Times New Roman" w:hAnsi="Times New Roman" w:cs="Times New Roman"/>
                      <w:b w:val="0"/>
                      <w:bCs/>
                      <w:lang w:val="en-US" w:eastAsia="zh-CN"/>
                    </w:rPr>
                    <w:t>云南澄江产业</w:t>
                  </w:r>
                  <w:r>
                    <w:rPr>
                      <w:rFonts w:hint="default" w:ascii="Times New Roman" w:hAnsi="Times New Roman" w:cs="Times New Roman"/>
                      <w:b w:val="0"/>
                      <w:bCs/>
                    </w:rPr>
                    <w:t>）园区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06" w:type="pct"/>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地理坐标</w:t>
                  </w:r>
                </w:p>
              </w:tc>
              <w:tc>
                <w:tcPr>
                  <w:tcW w:w="734" w:type="pct"/>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东经</w:t>
                  </w:r>
                </w:p>
              </w:tc>
              <w:tc>
                <w:tcPr>
                  <w:tcW w:w="1274" w:type="pct"/>
                  <w:gridSpan w:val="2"/>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102度51分8.080秒</w:t>
                  </w:r>
                </w:p>
              </w:tc>
              <w:tc>
                <w:tcPr>
                  <w:tcW w:w="1168" w:type="pct"/>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北纬</w:t>
                  </w:r>
                </w:p>
              </w:tc>
              <w:tc>
                <w:tcPr>
                  <w:tcW w:w="1215" w:type="pct"/>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24度44分42.510秒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06" w:type="pct"/>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主要危险物质及分布</w:t>
                  </w:r>
                </w:p>
              </w:tc>
              <w:tc>
                <w:tcPr>
                  <w:tcW w:w="4393" w:type="pct"/>
                  <w:gridSpan w:val="5"/>
                  <w:vAlign w:val="center"/>
                </w:tcPr>
                <w:p>
                  <w:pPr>
                    <w:pStyle w:val="45"/>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b w:val="0"/>
                      <w:bCs/>
                    </w:rPr>
                  </w:pPr>
                  <w:r>
                    <w:rPr>
                      <w:rFonts w:hint="default" w:ascii="Times New Roman" w:hAnsi="Times New Roman" w:cs="Times New Roman"/>
                      <w:b w:val="0"/>
                      <w:bCs/>
                    </w:rPr>
                    <w:t>危险废物暂存间主要环境风险因子为废润滑油，根据《建设项目风险评价技术导则》（HJ/T169-2018），废润滑油为重点关注的危险物质，临界量2500t，属于可燃物质。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606" w:type="pct"/>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环境影响途径及危害后果（大气、地表</w:t>
                  </w:r>
                </w:p>
                <w:p>
                  <w:pPr>
                    <w:pStyle w:val="45"/>
                    <w:bidi w:val="0"/>
                    <w:jc w:val="center"/>
                    <w:rPr>
                      <w:rFonts w:hint="default" w:ascii="Times New Roman" w:hAnsi="Times New Roman" w:cs="Times New Roman"/>
                      <w:b w:val="0"/>
                      <w:bCs/>
                    </w:rPr>
                  </w:pPr>
                  <w:r>
                    <w:rPr>
                      <w:rFonts w:hint="default" w:ascii="Times New Roman" w:hAnsi="Times New Roman" w:cs="Times New Roman"/>
                      <w:b w:val="0"/>
                      <w:bCs/>
                    </w:rPr>
                    <w:t>水、地下水）</w:t>
                  </w:r>
                </w:p>
              </w:tc>
              <w:tc>
                <w:tcPr>
                  <w:tcW w:w="4393" w:type="pct"/>
                  <w:gridSpan w:val="5"/>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废润滑油泄漏可能会造成地下水污染等事故，遇火源、热源可能引起火灾。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7" w:hRule="atLeast"/>
              </w:trPr>
              <w:tc>
                <w:tcPr>
                  <w:tcW w:w="606" w:type="pct"/>
                  <w:vAlign w:val="center"/>
                </w:tcPr>
                <w:p>
                  <w:pPr>
                    <w:pStyle w:val="45"/>
                    <w:bidi w:val="0"/>
                    <w:jc w:val="center"/>
                    <w:rPr>
                      <w:rFonts w:hint="default" w:ascii="Times New Roman" w:hAnsi="Times New Roman" w:cs="Times New Roman"/>
                      <w:b w:val="0"/>
                      <w:bCs/>
                    </w:rPr>
                  </w:pPr>
                  <w:r>
                    <w:rPr>
                      <w:rFonts w:hint="default" w:ascii="Times New Roman" w:hAnsi="Times New Roman" w:cs="Times New Roman"/>
                      <w:b w:val="0"/>
                      <w:bCs/>
                    </w:rPr>
                    <w:t>风险防</w:t>
                  </w:r>
                </w:p>
                <w:p>
                  <w:pPr>
                    <w:pStyle w:val="45"/>
                    <w:bidi w:val="0"/>
                    <w:jc w:val="center"/>
                    <w:rPr>
                      <w:rFonts w:hint="default" w:ascii="Times New Roman" w:hAnsi="Times New Roman" w:cs="Times New Roman"/>
                      <w:b w:val="0"/>
                      <w:bCs/>
                    </w:rPr>
                  </w:pPr>
                  <w:r>
                    <w:rPr>
                      <w:rFonts w:hint="default" w:ascii="Times New Roman" w:hAnsi="Times New Roman" w:cs="Times New Roman"/>
                      <w:b w:val="0"/>
                      <w:bCs/>
                    </w:rPr>
                    <w:t>范措施</w:t>
                  </w:r>
                </w:p>
                <w:p>
                  <w:pPr>
                    <w:pStyle w:val="45"/>
                    <w:bidi w:val="0"/>
                    <w:jc w:val="center"/>
                    <w:rPr>
                      <w:rFonts w:hint="default" w:ascii="Times New Roman" w:hAnsi="Times New Roman" w:cs="Times New Roman"/>
                      <w:b w:val="0"/>
                      <w:bCs/>
                    </w:rPr>
                  </w:pPr>
                  <w:r>
                    <w:rPr>
                      <w:rFonts w:hint="default" w:ascii="Times New Roman" w:hAnsi="Times New Roman" w:cs="Times New Roman"/>
                      <w:b w:val="0"/>
                      <w:bCs/>
                    </w:rPr>
                    <w:t>要求</w:t>
                  </w:r>
                </w:p>
              </w:tc>
              <w:tc>
                <w:tcPr>
                  <w:tcW w:w="4393" w:type="pct"/>
                  <w:gridSpan w:val="5"/>
                  <w:vAlign w:val="center"/>
                </w:tcPr>
                <w:p>
                  <w:pPr>
                    <w:pStyle w:val="45"/>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b w:val="0"/>
                      <w:bCs/>
                    </w:rPr>
                  </w:pPr>
                  <w:r>
                    <w:rPr>
                      <w:rFonts w:hint="default" w:ascii="Times New Roman" w:hAnsi="Times New Roman" w:cs="Times New Roman"/>
                      <w:b w:val="0"/>
                      <w:bCs/>
                    </w:rPr>
                    <w:t>危险废物暂存间严格按执行《危险废物贮存污染控制标准》（</w:t>
                  </w:r>
                  <w:r>
                    <w:rPr>
                      <w:rFonts w:hint="eastAsia" w:ascii="Times New Roman" w:hAnsi="Times New Roman" w:cs="Times New Roman"/>
                      <w:b w:val="0"/>
                      <w:bCs/>
                      <w:lang w:eastAsia="zh-CN"/>
                    </w:rPr>
                    <w:t>GB18597-2023</w:t>
                  </w:r>
                  <w:r>
                    <w:rPr>
                      <w:rFonts w:hint="default" w:ascii="Times New Roman" w:hAnsi="Times New Roman" w:cs="Times New Roman"/>
                      <w:b w:val="0"/>
                      <w:bCs/>
                    </w:rPr>
                    <w:t>）及其修改单中的要求进行建设、防渗，并设置围堰，危废暂存间废油泄漏后经围堰封堵，不会进入外环境，因此废油泄漏危废间内即可妥善处理，用砂土或其它不燃材料吸附或吸收，吸附后的不燃材料或沙土单独收集作为危废处理。</w:t>
                  </w:r>
                </w:p>
                <w:p>
                  <w:pPr>
                    <w:pStyle w:val="45"/>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b w:val="0"/>
                      <w:bCs/>
                    </w:rPr>
                  </w:pPr>
                  <w:r>
                    <w:rPr>
                      <w:rFonts w:hint="default" w:ascii="Times New Roman" w:hAnsi="Times New Roman" w:cs="Times New Roman"/>
                      <w:b w:val="0"/>
                      <w:bCs/>
                    </w:rPr>
                    <w:t>①对装置周围可能的明火、电器火花和撞击火花进行控制管理；严禁危险区内吸烟和违章动用明火；电器设备、仪表选用防爆型；操作人员应按规定穿戴劳保用品，防止静电火花的产生。</w:t>
                  </w:r>
                </w:p>
                <w:p>
                  <w:pPr>
                    <w:pStyle w:val="45"/>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b w:val="0"/>
                      <w:bCs/>
                    </w:rPr>
                  </w:pPr>
                  <w:r>
                    <w:rPr>
                      <w:rFonts w:hint="default" w:ascii="Times New Roman" w:hAnsi="Times New Roman" w:cs="Times New Roman"/>
                      <w:b w:val="0"/>
                      <w:bCs/>
                    </w:rPr>
                    <w:t>②移动式灭火设备</w:t>
                  </w:r>
                </w:p>
                <w:p>
                  <w:pPr>
                    <w:pStyle w:val="45"/>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b w:val="0"/>
                      <w:bCs/>
                    </w:rPr>
                  </w:pPr>
                  <w:r>
                    <w:rPr>
                      <w:rFonts w:hint="default" w:ascii="Times New Roman" w:hAnsi="Times New Roman" w:cs="Times New Roman"/>
                      <w:b w:val="0"/>
                      <w:bCs/>
                    </w:rPr>
                    <w:t>按照《建筑灭火器配置设计规范》（GB50140－2005），对项目区内可能发生火灾的各类场所、工艺装置区、主要建筑物等，根据其火灾危险性、区域大小等实际情况，分别配置一定数量不同类型、不同规格的移动式灭火器材，以便及时扑救初始零星火灾。</w:t>
                  </w:r>
                </w:p>
                <w:p>
                  <w:pPr>
                    <w:pStyle w:val="45"/>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b w:val="0"/>
                      <w:bCs/>
                    </w:rPr>
                  </w:pPr>
                  <w:r>
                    <w:rPr>
                      <w:rFonts w:hint="default" w:ascii="Times New Roman" w:hAnsi="Times New Roman" w:cs="Times New Roman"/>
                      <w:b w:val="0"/>
                      <w:bCs/>
                    </w:rPr>
                    <w:t>③提高员工素质。增强安全意识。建立严格的安全管理制度，杜绝违章动火、吸烟等现象，按规定配备劳动防护用品．经常性地向职工进行安全和健康防护方面的教育。</w:t>
                  </w:r>
                </w:p>
                <w:p>
                  <w:pPr>
                    <w:pStyle w:val="45"/>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b w:val="0"/>
                      <w:bCs/>
                    </w:rPr>
                  </w:pPr>
                  <w:r>
                    <w:rPr>
                      <w:rFonts w:hint="default" w:ascii="Times New Roman" w:hAnsi="Times New Roman" w:cs="Times New Roman"/>
                      <w:b w:val="0"/>
                      <w:bCs/>
                    </w:rPr>
                    <w:t>④项目区内危险区域内的电气设备选型、安装、电力线路敷设等，应符合现行国家标准《爆炸和火灾危险环境电力装置设计规范》GB50058的规定。</w:t>
                  </w:r>
                </w:p>
                <w:p>
                  <w:pPr>
                    <w:pStyle w:val="45"/>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b w:val="0"/>
                      <w:bCs/>
                    </w:rPr>
                  </w:pPr>
                  <w:r>
                    <w:rPr>
                      <w:rFonts w:hint="default" w:ascii="Times New Roman" w:hAnsi="Times New Roman" w:cs="Times New Roman"/>
                      <w:b w:val="0"/>
                      <w:bCs/>
                    </w:rPr>
                    <w:t>⑤设立事故应急及消防水池，在发生事故时紧急处理。</w:t>
                  </w:r>
                </w:p>
                <w:p>
                  <w:pPr>
                    <w:pStyle w:val="45"/>
                    <w:keepNext w:val="0"/>
                    <w:keepLines w:val="0"/>
                    <w:pageBreakBefore w:val="0"/>
                    <w:widowControl w:val="0"/>
                    <w:kinsoku/>
                    <w:wordWrap/>
                    <w:overflowPunct/>
                    <w:topLinePunct w:val="0"/>
                    <w:autoSpaceDE/>
                    <w:autoSpaceDN/>
                    <w:bidi w:val="0"/>
                    <w:adjustRightInd/>
                    <w:snapToGrid/>
                    <w:ind w:firstLine="436" w:firstLineChars="200"/>
                    <w:jc w:val="left"/>
                    <w:textAlignment w:val="auto"/>
                    <w:rPr>
                      <w:rFonts w:hint="default" w:ascii="Times New Roman" w:hAnsi="Times New Roman" w:cs="Times New Roman"/>
                      <w:b w:val="0"/>
                      <w:bCs/>
                    </w:rPr>
                  </w:pPr>
                  <w:r>
                    <w:rPr>
                      <w:rFonts w:hint="default" w:ascii="Times New Roman" w:hAnsi="Times New Roman" w:cs="Times New Roman"/>
                      <w:b w:val="0"/>
                      <w:bCs/>
                      <w:spacing w:val="4"/>
                    </w:rPr>
                    <w:t>⑥勿在工作现场，使用手机、电话、调频收音机等电子设备，以免产生静电起火；</w:t>
                  </w:r>
                </w:p>
              </w:tc>
            </w:tr>
          </w:tbl>
          <w:p>
            <w:pPr>
              <w:bidi w:val="0"/>
              <w:rPr>
                <w:rFonts w:hint="default" w:ascii="Times New Roman" w:hAnsi="Times New Roman" w:cs="Times New Roman"/>
                <w:b w:val="0"/>
                <w:bCs w:val="0"/>
              </w:rPr>
            </w:pPr>
          </w:p>
        </w:tc>
      </w:tr>
    </w:tbl>
    <w:p>
      <w:pPr>
        <w:pStyle w:val="27"/>
        <w:ind w:left="0" w:leftChars="0" w:firstLine="0" w:firstLineChars="0"/>
        <w:rPr>
          <w:rFonts w:hint="default" w:ascii="Times New Roman" w:hAnsi="Times New Roman" w:cs="Times New Roman"/>
          <w:b/>
          <w:bCs/>
        </w:rPr>
        <w:sectPr>
          <w:pgSz w:w="11906" w:h="16838"/>
          <w:pgMar w:top="1134" w:right="1531" w:bottom="1134" w:left="1531" w:header="851" w:footer="850" w:gutter="0"/>
          <w:pgBorders>
            <w:top w:val="none" w:sz="0" w:space="0"/>
            <w:left w:val="none" w:sz="0" w:space="0"/>
            <w:bottom w:val="none" w:sz="0" w:space="0"/>
            <w:right w:val="none" w:sz="0" w:space="0"/>
          </w:pgBorders>
          <w:cols w:space="720" w:num="1"/>
          <w:docGrid w:linePitch="312" w:charSpace="0"/>
        </w:sectPr>
      </w:pP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黑体" w:cs="Times New Roman"/>
          <w:snapToGrid w:val="0"/>
          <w:color w:val="auto"/>
          <w:sz w:val="30"/>
          <w:szCs w:val="30"/>
        </w:rPr>
      </w:pPr>
      <w:bookmarkStart w:id="23" w:name="_Toc14430"/>
      <w:r>
        <w:rPr>
          <w:rFonts w:hint="default" w:ascii="Times New Roman" w:hAnsi="Times New Roman" w:eastAsia="黑体" w:cs="Times New Roman"/>
          <w:snapToGrid w:val="0"/>
          <w:color w:val="auto"/>
          <w:sz w:val="30"/>
          <w:szCs w:val="30"/>
        </w:rPr>
        <w:t>五、</w:t>
      </w:r>
      <w:bookmarkStart w:id="24" w:name="_Hlk54167917"/>
      <w:r>
        <w:rPr>
          <w:rFonts w:hint="default" w:ascii="Times New Roman" w:hAnsi="Times New Roman" w:eastAsia="黑体" w:cs="Times New Roman"/>
          <w:snapToGrid w:val="0"/>
          <w:color w:val="auto"/>
          <w:sz w:val="30"/>
          <w:szCs w:val="30"/>
        </w:rPr>
        <w:t>环境保护措施监督检查清单</w:t>
      </w:r>
      <w:bookmarkEnd w:id="14"/>
      <w:bookmarkEnd w:id="23"/>
      <w:bookmarkEnd w:id="24"/>
    </w:p>
    <w:tbl>
      <w:tblPr>
        <w:tblStyle w:val="98"/>
        <w:tblW w:w="880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Layout w:type="fixed"/>
        <w:tblCellMar>
          <w:top w:w="0" w:type="dxa"/>
          <w:left w:w="0" w:type="dxa"/>
          <w:bottom w:w="0" w:type="dxa"/>
          <w:right w:w="0" w:type="dxa"/>
        </w:tblCellMar>
      </w:tblPr>
      <w:tblGrid>
        <w:gridCol w:w="4"/>
        <w:gridCol w:w="1398"/>
        <w:gridCol w:w="4"/>
        <w:gridCol w:w="823"/>
        <w:gridCol w:w="819"/>
        <w:gridCol w:w="4"/>
        <w:gridCol w:w="1329"/>
        <w:gridCol w:w="1455"/>
        <w:gridCol w:w="4"/>
        <w:gridCol w:w="1828"/>
        <w:gridCol w:w="1136"/>
        <w:gridCol w:w="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gridBefore w:val="1"/>
          <w:wBefore w:w="4" w:type="dxa"/>
          <w:trHeight w:val="826" w:hRule="atLeast"/>
        </w:trPr>
        <w:tc>
          <w:tcPr>
            <w:tcW w:w="1402" w:type="dxa"/>
            <w:gridSpan w:val="2"/>
            <w:tcBorders>
              <w:tl2br w:val="single" w:color="000000" w:sz="6" w:space="0"/>
            </w:tcBorders>
            <w:vAlign w:val="top"/>
          </w:tcPr>
          <w:p>
            <w:pPr>
              <w:pStyle w:val="45"/>
              <w:bidi w:val="0"/>
              <w:jc w:val="right"/>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内容</w:t>
            </w:r>
          </w:p>
          <w:p>
            <w:pPr>
              <w:pStyle w:val="45"/>
              <w:bidi w:val="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要素</w:t>
            </w:r>
          </w:p>
        </w:tc>
        <w:tc>
          <w:tcPr>
            <w:tcW w:w="1646" w:type="dxa"/>
            <w:gridSpan w:val="3"/>
            <w:tcBorders>
              <w:tl2br w:val="nil"/>
              <w:tr2bl w:val="nil"/>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排放口(编号、名称)/污染源</w:t>
            </w:r>
          </w:p>
        </w:tc>
        <w:tc>
          <w:tcPr>
            <w:tcW w:w="1329" w:type="dxa"/>
            <w:tcBorders>
              <w:tl2br w:val="nil"/>
              <w:tr2bl w:val="nil"/>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污染</w:t>
            </w:r>
          </w:p>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物项</w:t>
            </w:r>
          </w:p>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目</w:t>
            </w:r>
          </w:p>
        </w:tc>
        <w:tc>
          <w:tcPr>
            <w:tcW w:w="1459" w:type="dxa"/>
            <w:gridSpan w:val="2"/>
            <w:tcBorders>
              <w:tl2br w:val="nil"/>
              <w:tr2bl w:val="nil"/>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环境保护措施</w:t>
            </w:r>
          </w:p>
        </w:tc>
        <w:tc>
          <w:tcPr>
            <w:tcW w:w="2968" w:type="dxa"/>
            <w:gridSpan w:val="3"/>
            <w:tcBorders>
              <w:tl2br w:val="nil"/>
              <w:tr2bl w:val="nil"/>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执行标准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gridBefore w:val="1"/>
          <w:wBefore w:w="4" w:type="dxa"/>
          <w:trHeight w:val="1637" w:hRule="atLeast"/>
        </w:trPr>
        <w:tc>
          <w:tcPr>
            <w:tcW w:w="1402" w:type="dxa"/>
            <w:gridSpan w:val="2"/>
            <w:vMerge w:val="restart"/>
            <w:tcBorders>
              <w:tl2br w:val="nil"/>
              <w:tr2bl w:val="nil"/>
            </w:tcBorders>
            <w:vAlign w:val="center"/>
          </w:tcPr>
          <w:p>
            <w:pPr>
              <w:pStyle w:val="45"/>
              <w:bidi w:val="0"/>
              <w:jc w:val="center"/>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val="0"/>
                <w:bCs w:val="0"/>
                <w:sz w:val="24"/>
                <w:szCs w:val="24"/>
                <w:lang w:val="en-US" w:eastAsia="zh-CN"/>
              </w:rPr>
              <w:t>环境空气</w:t>
            </w:r>
          </w:p>
        </w:tc>
        <w:tc>
          <w:tcPr>
            <w:tcW w:w="1646" w:type="dxa"/>
            <w:gridSpan w:val="3"/>
            <w:tcBorders>
              <w:tl2br w:val="nil"/>
              <w:tr2bl w:val="nil"/>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中空玻璃密封工序</w:t>
            </w:r>
          </w:p>
        </w:tc>
        <w:tc>
          <w:tcPr>
            <w:tcW w:w="1329" w:type="dxa"/>
            <w:tcBorders>
              <w:tl2br w:val="nil"/>
              <w:tr2bl w:val="nil"/>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非甲烷总烃、甲苯、二甲苯</w:t>
            </w:r>
          </w:p>
        </w:tc>
        <w:tc>
          <w:tcPr>
            <w:tcW w:w="1459" w:type="dxa"/>
            <w:gridSpan w:val="2"/>
            <w:tcBorders>
              <w:tl2br w:val="nil"/>
              <w:tr2bl w:val="nil"/>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eastAsia="zh-CN"/>
              </w:rPr>
              <w:t>二级</w:t>
            </w:r>
            <w:r>
              <w:rPr>
                <w:rFonts w:hint="default" w:ascii="Times New Roman" w:hAnsi="Times New Roman" w:cs="Times New Roman"/>
                <w:b w:val="0"/>
                <w:bCs w:val="0"/>
                <w:sz w:val="24"/>
                <w:szCs w:val="24"/>
              </w:rPr>
              <w:t>活性炭吸</w:t>
            </w:r>
          </w:p>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附设备+15m高排气</w:t>
            </w:r>
          </w:p>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筒</w:t>
            </w:r>
          </w:p>
        </w:tc>
        <w:tc>
          <w:tcPr>
            <w:tcW w:w="2968" w:type="dxa"/>
            <w:gridSpan w:val="3"/>
            <w:tcBorders>
              <w:tl2br w:val="nil"/>
              <w:tr2bl w:val="nil"/>
            </w:tcBorders>
            <w:vAlign w:val="center"/>
          </w:tcPr>
          <w:p>
            <w:pPr>
              <w:pStyle w:val="45"/>
              <w:bidi w:val="0"/>
              <w:jc w:val="center"/>
              <w:rPr>
                <w:rFonts w:hint="default" w:ascii="Times New Roman" w:hAnsi="Times New Roman" w:eastAsia="宋体" w:cs="Times New Roman"/>
                <w:b w:val="0"/>
                <w:bCs w:val="0"/>
                <w:sz w:val="24"/>
                <w:szCs w:val="24"/>
                <w:lang w:eastAsia="zh-CN"/>
              </w:rPr>
            </w:pPr>
            <w:r>
              <w:rPr>
                <w:rFonts w:hint="default" w:ascii="Times New Roman" w:hAnsi="Times New Roman" w:cs="Times New Roman"/>
                <w:b w:val="0"/>
                <w:bCs w:val="0"/>
                <w:sz w:val="24"/>
                <w:szCs w:val="24"/>
              </w:rPr>
              <w:t>《大气污染物综合排放标准》（GB16297-1996）表2限值二级排放限值。即非甲烷总烃排放浓度≦120mg/</w:t>
            </w:r>
            <w:r>
              <w:rPr>
                <w:rFonts w:hint="default" w:ascii="Times New Roman" w:hAnsi="Times New Roman" w:cs="Times New Roman"/>
                <w:b w:val="0"/>
                <w:bCs w:val="0"/>
                <w:sz w:val="24"/>
                <w:szCs w:val="24"/>
                <w:lang w:eastAsia="zh-CN"/>
              </w:rPr>
              <w:t>m³</w:t>
            </w:r>
            <w:r>
              <w:rPr>
                <w:rFonts w:hint="default" w:ascii="Times New Roman" w:hAnsi="Times New Roman" w:cs="Times New Roman"/>
                <w:b w:val="0"/>
                <w:bCs w:val="0"/>
                <w:sz w:val="24"/>
                <w:szCs w:val="24"/>
              </w:rPr>
              <w:t>，二甲苯排放浓度≦70mg/</w:t>
            </w:r>
            <w:r>
              <w:rPr>
                <w:rFonts w:hint="default" w:ascii="Times New Roman" w:hAnsi="Times New Roman" w:cs="Times New Roman"/>
                <w:b w:val="0"/>
                <w:bCs w:val="0"/>
                <w:sz w:val="24"/>
                <w:szCs w:val="24"/>
                <w:lang w:eastAsia="zh-CN"/>
              </w:rPr>
              <w:t>m³</w:t>
            </w:r>
            <w:r>
              <w:rPr>
                <w:rFonts w:hint="default" w:ascii="Times New Roman" w:hAnsi="Times New Roman" w:cs="Times New Roman"/>
                <w:b w:val="0"/>
                <w:bCs w:val="0"/>
                <w:sz w:val="24"/>
                <w:szCs w:val="24"/>
              </w:rPr>
              <w:t>，甲苯排放浓度≦40mg/</w:t>
            </w:r>
            <w:r>
              <w:rPr>
                <w:rFonts w:hint="default" w:ascii="Times New Roman" w:hAnsi="Times New Roman" w:cs="Times New Roman"/>
                <w:b w:val="0"/>
                <w:bCs w:val="0"/>
                <w:sz w:val="24"/>
                <w:szCs w:val="24"/>
                <w:lang w:eastAsia="zh-CN"/>
              </w:rPr>
              <w:t>m³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gridBefore w:val="1"/>
          <w:wBefore w:w="4" w:type="dxa"/>
          <w:trHeight w:val="1364" w:hRule="atLeast"/>
        </w:trPr>
        <w:tc>
          <w:tcPr>
            <w:tcW w:w="1402" w:type="dxa"/>
            <w:gridSpan w:val="2"/>
            <w:vMerge w:val="continue"/>
            <w:tcBorders>
              <w:tl2br w:val="nil"/>
              <w:tr2bl w:val="nil"/>
            </w:tcBorders>
            <w:vAlign w:val="top"/>
          </w:tcPr>
          <w:p>
            <w:pPr>
              <w:pStyle w:val="45"/>
              <w:bidi w:val="0"/>
              <w:rPr>
                <w:rFonts w:hint="default" w:ascii="Times New Roman" w:hAnsi="Times New Roman" w:cs="Times New Roman"/>
                <w:b w:val="0"/>
                <w:bCs w:val="0"/>
                <w:sz w:val="24"/>
                <w:szCs w:val="24"/>
              </w:rPr>
            </w:pPr>
          </w:p>
        </w:tc>
        <w:tc>
          <w:tcPr>
            <w:tcW w:w="1646" w:type="dxa"/>
            <w:gridSpan w:val="3"/>
            <w:tcBorders>
              <w:tl2br w:val="nil"/>
              <w:tr2bl w:val="nil"/>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厂区内</w:t>
            </w:r>
          </w:p>
        </w:tc>
        <w:tc>
          <w:tcPr>
            <w:tcW w:w="1329" w:type="dxa"/>
            <w:tcBorders>
              <w:tl2br w:val="nil"/>
              <w:tr2bl w:val="nil"/>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无组织非甲烷</w:t>
            </w:r>
          </w:p>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总烃</w:t>
            </w:r>
          </w:p>
        </w:tc>
        <w:tc>
          <w:tcPr>
            <w:tcW w:w="1459" w:type="dxa"/>
            <w:gridSpan w:val="2"/>
            <w:tcBorders>
              <w:tl2br w:val="nil"/>
              <w:tr2bl w:val="nil"/>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加强通风</w:t>
            </w:r>
          </w:p>
        </w:tc>
        <w:tc>
          <w:tcPr>
            <w:tcW w:w="2968" w:type="dxa"/>
            <w:gridSpan w:val="3"/>
            <w:tcBorders>
              <w:tl2br w:val="nil"/>
              <w:tr2bl w:val="nil"/>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《挥发性有机物无组织排放控制标准》（GB37822-2019）无组织排放限值，即监控点处1h平均浓度≦10mg/m³、监控点处任意一次浓度≦30mg/m³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gridBefore w:val="1"/>
          <w:wBefore w:w="4" w:type="dxa"/>
          <w:trHeight w:val="821" w:hRule="atLeast"/>
        </w:trPr>
        <w:tc>
          <w:tcPr>
            <w:tcW w:w="1402" w:type="dxa"/>
            <w:gridSpan w:val="2"/>
            <w:vMerge w:val="continue"/>
            <w:tcBorders>
              <w:tl2br w:val="nil"/>
              <w:tr2bl w:val="nil"/>
            </w:tcBorders>
            <w:vAlign w:val="top"/>
          </w:tcPr>
          <w:p>
            <w:pPr>
              <w:pStyle w:val="45"/>
              <w:bidi w:val="0"/>
              <w:rPr>
                <w:rFonts w:hint="default" w:ascii="Times New Roman" w:hAnsi="Times New Roman" w:cs="Times New Roman"/>
                <w:b w:val="0"/>
                <w:bCs w:val="0"/>
                <w:sz w:val="24"/>
                <w:szCs w:val="24"/>
              </w:rPr>
            </w:pPr>
          </w:p>
        </w:tc>
        <w:tc>
          <w:tcPr>
            <w:tcW w:w="1646" w:type="dxa"/>
            <w:gridSpan w:val="3"/>
            <w:tcBorders>
              <w:tl2br w:val="nil"/>
              <w:tr2bl w:val="nil"/>
            </w:tcBorders>
            <w:vAlign w:val="top"/>
          </w:tcPr>
          <w:p>
            <w:pPr>
              <w:pStyle w:val="45"/>
              <w:bidi w:val="0"/>
              <w:rPr>
                <w:rFonts w:hint="default" w:ascii="Times New Roman" w:hAnsi="Times New Roman" w:cs="Times New Roman"/>
                <w:b w:val="0"/>
                <w:bCs w:val="0"/>
                <w:sz w:val="24"/>
                <w:szCs w:val="24"/>
              </w:rPr>
            </w:pPr>
          </w:p>
          <w:p>
            <w:pPr>
              <w:pStyle w:val="45"/>
              <w:bidi w:val="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食堂</w:t>
            </w:r>
          </w:p>
        </w:tc>
        <w:tc>
          <w:tcPr>
            <w:tcW w:w="1329" w:type="dxa"/>
            <w:tcBorders>
              <w:tl2br w:val="nil"/>
              <w:tr2bl w:val="nil"/>
            </w:tcBorders>
            <w:vAlign w:val="top"/>
          </w:tcPr>
          <w:p>
            <w:pPr>
              <w:pStyle w:val="45"/>
              <w:bidi w:val="0"/>
              <w:rPr>
                <w:rFonts w:hint="default" w:ascii="Times New Roman" w:hAnsi="Times New Roman" w:cs="Times New Roman"/>
                <w:b w:val="0"/>
                <w:bCs w:val="0"/>
                <w:sz w:val="24"/>
                <w:szCs w:val="24"/>
              </w:rPr>
            </w:pPr>
          </w:p>
          <w:p>
            <w:pPr>
              <w:pStyle w:val="45"/>
              <w:bidi w:val="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油烟</w:t>
            </w:r>
          </w:p>
        </w:tc>
        <w:tc>
          <w:tcPr>
            <w:tcW w:w="1459" w:type="dxa"/>
            <w:gridSpan w:val="2"/>
            <w:tcBorders>
              <w:tl2br w:val="nil"/>
              <w:tr2bl w:val="nil"/>
            </w:tcBorders>
            <w:vAlign w:val="top"/>
          </w:tcPr>
          <w:p>
            <w:pPr>
              <w:pStyle w:val="45"/>
              <w:bidi w:val="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抽油烟机1台，净化效率≥60%。</w:t>
            </w:r>
          </w:p>
        </w:tc>
        <w:tc>
          <w:tcPr>
            <w:tcW w:w="2968" w:type="dxa"/>
            <w:gridSpan w:val="3"/>
            <w:tcBorders>
              <w:tl2br w:val="nil"/>
              <w:tr2bl w:val="nil"/>
            </w:tcBorders>
            <w:vAlign w:val="top"/>
          </w:tcPr>
          <w:p>
            <w:pPr>
              <w:pStyle w:val="45"/>
              <w:bidi w:val="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《饮食业油烟排放标准</w:t>
            </w:r>
          </w:p>
          <w:p>
            <w:pPr>
              <w:pStyle w:val="45"/>
              <w:bidi w:val="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（GB18483-2001）中小型规模标准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gridBefore w:val="1"/>
          <w:wBefore w:w="4" w:type="dxa"/>
          <w:trHeight w:val="3782" w:hRule="atLeast"/>
        </w:trPr>
        <w:tc>
          <w:tcPr>
            <w:tcW w:w="1398" w:type="dxa"/>
            <w:vMerge w:val="restart"/>
            <w:tcBorders>
              <w:tl2br w:val="nil"/>
              <w:tr2bl w:val="nil"/>
            </w:tcBorders>
            <w:vAlign w:val="center"/>
          </w:tcPr>
          <w:p>
            <w:pPr>
              <w:pStyle w:val="45"/>
              <w:bidi w:val="0"/>
              <w:jc w:val="center"/>
              <w:rPr>
                <w:rFonts w:hint="default" w:ascii="Times New Roman" w:hAnsi="Times New Roman" w:cs="Times New Roman"/>
                <w:b w:val="0"/>
                <w:bCs w:val="0"/>
                <w:sz w:val="24"/>
                <w:szCs w:val="24"/>
              </w:rPr>
            </w:pPr>
          </w:p>
          <w:p>
            <w:pPr>
              <w:pStyle w:val="45"/>
              <w:bidi w:val="0"/>
              <w:jc w:val="center"/>
              <w:rPr>
                <w:rFonts w:hint="default" w:ascii="Times New Roman" w:hAnsi="Times New Roman" w:cs="Times New Roman"/>
                <w:b w:val="0"/>
                <w:bCs w:val="0"/>
                <w:sz w:val="24"/>
                <w:szCs w:val="24"/>
              </w:rPr>
            </w:pPr>
          </w:p>
          <w:p>
            <w:pPr>
              <w:pStyle w:val="45"/>
              <w:bidi w:val="0"/>
              <w:jc w:val="center"/>
              <w:rPr>
                <w:rFonts w:hint="default" w:ascii="Times New Roman" w:hAnsi="Times New Roman" w:cs="Times New Roman"/>
                <w:b w:val="0"/>
                <w:bCs w:val="0"/>
                <w:sz w:val="24"/>
                <w:szCs w:val="24"/>
              </w:rPr>
            </w:pPr>
          </w:p>
          <w:p>
            <w:pPr>
              <w:pStyle w:val="45"/>
              <w:bidi w:val="0"/>
              <w:jc w:val="center"/>
              <w:rPr>
                <w:rFonts w:hint="default" w:ascii="Times New Roman" w:hAnsi="Times New Roman" w:cs="Times New Roman"/>
                <w:b w:val="0"/>
                <w:bCs w:val="0"/>
                <w:sz w:val="24"/>
                <w:szCs w:val="24"/>
              </w:rPr>
            </w:pPr>
          </w:p>
          <w:p>
            <w:pPr>
              <w:pStyle w:val="45"/>
              <w:bidi w:val="0"/>
              <w:jc w:val="center"/>
              <w:rPr>
                <w:rFonts w:hint="default" w:ascii="Times New Roman" w:hAnsi="Times New Roman" w:cs="Times New Roman"/>
                <w:b w:val="0"/>
                <w:bCs w:val="0"/>
                <w:sz w:val="24"/>
                <w:szCs w:val="24"/>
              </w:rPr>
            </w:pPr>
          </w:p>
          <w:p>
            <w:pPr>
              <w:pStyle w:val="45"/>
              <w:bidi w:val="0"/>
              <w:jc w:val="center"/>
              <w:rPr>
                <w:rFonts w:hint="default" w:ascii="Times New Roman" w:hAnsi="Times New Roman" w:cs="Times New Roman"/>
                <w:b w:val="0"/>
                <w:bCs w:val="0"/>
                <w:sz w:val="24"/>
                <w:szCs w:val="24"/>
              </w:rPr>
            </w:pPr>
          </w:p>
          <w:p>
            <w:pPr>
              <w:pStyle w:val="45"/>
              <w:bidi w:val="0"/>
              <w:jc w:val="center"/>
              <w:rPr>
                <w:rFonts w:hint="default" w:ascii="Times New Roman" w:hAnsi="Times New Roman" w:cs="Times New Roman"/>
                <w:b w:val="0"/>
                <w:bCs w:val="0"/>
                <w:sz w:val="24"/>
                <w:szCs w:val="24"/>
              </w:rPr>
            </w:pPr>
          </w:p>
          <w:p>
            <w:pPr>
              <w:pStyle w:val="45"/>
              <w:bidi w:val="0"/>
              <w:jc w:val="center"/>
              <w:rPr>
                <w:rFonts w:hint="default" w:ascii="Times New Roman" w:hAnsi="Times New Roman" w:cs="Times New Roman"/>
                <w:b w:val="0"/>
                <w:bCs w:val="0"/>
                <w:sz w:val="24"/>
                <w:szCs w:val="24"/>
              </w:rPr>
            </w:pPr>
          </w:p>
          <w:p>
            <w:pPr>
              <w:pStyle w:val="45"/>
              <w:bidi w:val="0"/>
              <w:jc w:val="center"/>
              <w:rPr>
                <w:rFonts w:hint="default" w:ascii="Times New Roman" w:hAnsi="Times New Roman" w:cs="Times New Roman"/>
                <w:b w:val="0"/>
                <w:bCs w:val="0"/>
                <w:sz w:val="24"/>
                <w:szCs w:val="24"/>
              </w:rPr>
            </w:pPr>
          </w:p>
          <w:p>
            <w:pPr>
              <w:pStyle w:val="45"/>
              <w:bidi w:val="0"/>
              <w:jc w:val="center"/>
              <w:rPr>
                <w:rFonts w:hint="default" w:ascii="Times New Roman" w:hAnsi="Times New Roman" w:cs="Times New Roman"/>
                <w:b w:val="0"/>
                <w:bCs w:val="0"/>
                <w:sz w:val="24"/>
                <w:szCs w:val="24"/>
              </w:rPr>
            </w:pPr>
          </w:p>
          <w:p>
            <w:pPr>
              <w:pStyle w:val="45"/>
              <w:bidi w:val="0"/>
              <w:jc w:val="center"/>
              <w:rPr>
                <w:rFonts w:hint="default" w:ascii="Times New Roman" w:hAnsi="Times New Roman" w:cs="Times New Roman"/>
                <w:b w:val="0"/>
                <w:bCs w:val="0"/>
                <w:sz w:val="24"/>
                <w:szCs w:val="24"/>
              </w:rPr>
            </w:pPr>
          </w:p>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地表水环境</w:t>
            </w:r>
          </w:p>
        </w:tc>
        <w:tc>
          <w:tcPr>
            <w:tcW w:w="827" w:type="dxa"/>
            <w:gridSpan w:val="2"/>
            <w:tcBorders>
              <w:tl2br w:val="nil"/>
              <w:tr2bl w:val="nil"/>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近期</w:t>
            </w:r>
          </w:p>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排水</w:t>
            </w:r>
          </w:p>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体制</w:t>
            </w:r>
          </w:p>
        </w:tc>
        <w:tc>
          <w:tcPr>
            <w:tcW w:w="823" w:type="dxa"/>
            <w:gridSpan w:val="2"/>
            <w:vMerge w:val="restart"/>
            <w:tcBorders>
              <w:tl2br w:val="nil"/>
              <w:tr2bl w:val="nil"/>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生活污水、食堂废水</w:t>
            </w:r>
          </w:p>
        </w:tc>
        <w:tc>
          <w:tcPr>
            <w:tcW w:w="1329" w:type="dxa"/>
            <w:vMerge w:val="restart"/>
            <w:tcBorders>
              <w:tl2br w:val="nil"/>
              <w:tr2bl w:val="nil"/>
            </w:tcBorders>
            <w:vAlign w:val="center"/>
          </w:tcPr>
          <w:p>
            <w:pPr>
              <w:pStyle w:val="45"/>
              <w:bidi w:val="0"/>
              <w:jc w:val="center"/>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val="0"/>
                <w:bCs w:val="0"/>
                <w:sz w:val="24"/>
                <w:szCs w:val="24"/>
              </w:rPr>
              <w:t>SS</w:t>
            </w:r>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COD</w:t>
            </w:r>
            <w:r>
              <w:rPr>
                <w:rFonts w:hint="default" w:ascii="Times New Roman" w:hAnsi="Times New Roman" w:cs="Times New Roman"/>
                <w:b w:val="0"/>
                <w:bCs w:val="0"/>
                <w:sz w:val="24"/>
                <w:szCs w:val="24"/>
                <w:vertAlign w:val="subscript"/>
              </w:rPr>
              <w:t>cr</w:t>
            </w:r>
            <w:r>
              <w:rPr>
                <w:rFonts w:hint="default" w:ascii="Times New Roman" w:hAnsi="Times New Roman" w:cs="Times New Roman"/>
                <w:b w:val="0"/>
                <w:bCs w:val="0"/>
                <w:sz w:val="24"/>
                <w:szCs w:val="24"/>
                <w:vertAlign w:val="baseline"/>
                <w:lang w:eastAsia="zh-CN"/>
              </w:rPr>
              <w:t>、</w:t>
            </w:r>
            <w:r>
              <w:rPr>
                <w:rFonts w:hint="default" w:ascii="Times New Roman" w:hAnsi="Times New Roman" w:cs="Times New Roman"/>
                <w:b w:val="0"/>
                <w:bCs w:val="0"/>
                <w:sz w:val="24"/>
                <w:szCs w:val="24"/>
              </w:rPr>
              <w:t>BOD</w:t>
            </w:r>
            <w:r>
              <w:rPr>
                <w:rFonts w:hint="default" w:ascii="Times New Roman" w:hAnsi="Times New Roman" w:cs="Times New Roman"/>
                <w:b w:val="0"/>
                <w:bCs w:val="0"/>
                <w:sz w:val="24"/>
                <w:szCs w:val="24"/>
                <w:vertAlign w:val="subscript"/>
              </w:rPr>
              <w:t>5</w:t>
            </w:r>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氨氮</w:t>
            </w:r>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T-P</w:t>
            </w:r>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动植物油</w:t>
            </w:r>
          </w:p>
        </w:tc>
        <w:tc>
          <w:tcPr>
            <w:tcW w:w="1459" w:type="dxa"/>
            <w:gridSpan w:val="2"/>
            <w:tcBorders>
              <w:tl2br w:val="nil"/>
              <w:tr2bl w:val="nil"/>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①项目区实行雨污分流，雨水经雨水管道外排至园区雨水管网。</w:t>
            </w:r>
          </w:p>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②项目建设1个容积0.</w:t>
            </w:r>
            <w:r>
              <w:rPr>
                <w:rFonts w:hint="eastAsia" w:ascii="Times New Roman" w:hAnsi="Times New Roman" w:cs="Times New Roman"/>
                <w:b w:val="0"/>
                <w:bCs w:val="0"/>
                <w:sz w:val="24"/>
                <w:szCs w:val="24"/>
                <w:lang w:val="en-US" w:eastAsia="zh-CN"/>
              </w:rPr>
              <w:t>5</w:t>
            </w:r>
            <w:r>
              <w:rPr>
                <w:rFonts w:hint="default" w:ascii="Times New Roman" w:hAnsi="Times New Roman" w:cs="Times New Roman"/>
                <w:b w:val="0"/>
                <w:bCs w:val="0"/>
                <w:sz w:val="24"/>
                <w:szCs w:val="24"/>
                <w:lang w:eastAsia="zh-CN"/>
              </w:rPr>
              <w:t>m³</w:t>
            </w:r>
            <w:r>
              <w:rPr>
                <w:rFonts w:hint="default" w:ascii="Times New Roman" w:hAnsi="Times New Roman" w:cs="Times New Roman"/>
                <w:b w:val="0"/>
                <w:bCs w:val="0"/>
                <w:sz w:val="24"/>
                <w:szCs w:val="24"/>
              </w:rPr>
              <w:t>的</w:t>
            </w:r>
            <w:r>
              <w:rPr>
                <w:rFonts w:hint="eastAsia" w:ascii="Times New Roman" w:hAnsi="Times New Roman" w:cs="Times New Roman"/>
                <w:b w:val="0"/>
                <w:bCs w:val="0"/>
                <w:sz w:val="24"/>
                <w:szCs w:val="24"/>
                <w:lang w:val="en-US" w:eastAsia="zh-CN"/>
              </w:rPr>
              <w:t>油水分离器</w:t>
            </w:r>
            <w:r>
              <w:rPr>
                <w:rFonts w:hint="default" w:ascii="Times New Roman" w:hAnsi="Times New Roman" w:cs="Times New Roman"/>
                <w:b w:val="0"/>
                <w:bCs w:val="0"/>
                <w:sz w:val="24"/>
                <w:szCs w:val="24"/>
              </w:rPr>
              <w:t>；</w:t>
            </w:r>
          </w:p>
        </w:tc>
        <w:tc>
          <w:tcPr>
            <w:tcW w:w="1828" w:type="dxa"/>
            <w:tcBorders>
              <w:tl2br w:val="nil"/>
              <w:tr2bl w:val="nil"/>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食堂废水经</w:t>
            </w:r>
            <w:r>
              <w:rPr>
                <w:rFonts w:hint="eastAsia" w:ascii="Times New Roman" w:hAnsi="Times New Roman" w:cs="Times New Roman"/>
                <w:b w:val="0"/>
                <w:bCs w:val="0"/>
                <w:sz w:val="24"/>
                <w:szCs w:val="24"/>
                <w:lang w:eastAsia="zh-CN"/>
              </w:rPr>
              <w:t>油水分离器</w:t>
            </w:r>
            <w:r>
              <w:rPr>
                <w:rFonts w:hint="default" w:ascii="Times New Roman" w:hAnsi="Times New Roman" w:cs="Times New Roman"/>
                <w:b w:val="0"/>
                <w:bCs w:val="0"/>
                <w:sz w:val="24"/>
                <w:szCs w:val="24"/>
              </w:rPr>
              <w:t>处理后与其他生活污水一起排入依托</w:t>
            </w:r>
            <w:r>
              <w:rPr>
                <w:rFonts w:hint="default" w:ascii="Times New Roman" w:hAnsi="Times New Roman" w:cs="Times New Roman"/>
                <w:b w:val="0"/>
                <w:bCs w:val="0"/>
                <w:sz w:val="24"/>
                <w:szCs w:val="24"/>
                <w:lang w:eastAsia="zh-CN"/>
              </w:rPr>
              <w:t>云南鑫成鹏高分子科技有限公司</w:t>
            </w:r>
            <w:r>
              <w:rPr>
                <w:rFonts w:hint="default" w:ascii="Times New Roman" w:hAnsi="Times New Roman" w:cs="Times New Roman"/>
                <w:b w:val="0"/>
                <w:bCs w:val="0"/>
                <w:sz w:val="24"/>
                <w:szCs w:val="24"/>
              </w:rPr>
              <w:t>3号厂房的化粪池处理后，最终进入</w:t>
            </w:r>
            <w:r>
              <w:rPr>
                <w:rFonts w:hint="default" w:ascii="Times New Roman" w:hAnsi="Times New Roman" w:cs="Times New Roman"/>
                <w:b w:val="0"/>
                <w:bCs w:val="0"/>
                <w:sz w:val="24"/>
                <w:szCs w:val="24"/>
                <w:lang w:eastAsia="zh-CN"/>
              </w:rPr>
              <w:t>云南鑫成鹏高分子科技有限公司</w:t>
            </w:r>
            <w:r>
              <w:rPr>
                <w:rFonts w:hint="default" w:ascii="Times New Roman" w:hAnsi="Times New Roman" w:cs="Times New Roman"/>
                <w:b w:val="0"/>
                <w:bCs w:val="0"/>
                <w:sz w:val="24"/>
                <w:szCs w:val="24"/>
              </w:rPr>
              <w:t>自建的一体化污水处理设施处理达标后晴天回用于</w:t>
            </w:r>
            <w:r>
              <w:rPr>
                <w:rFonts w:hint="default" w:ascii="Times New Roman" w:hAnsi="Times New Roman" w:cs="Times New Roman"/>
                <w:b w:val="0"/>
                <w:bCs w:val="0"/>
                <w:sz w:val="24"/>
                <w:szCs w:val="24"/>
                <w:lang w:eastAsia="zh-CN"/>
              </w:rPr>
              <w:t>云南鑫成鹏高分子科技有限公司</w:t>
            </w:r>
            <w:r>
              <w:rPr>
                <w:rFonts w:hint="default" w:ascii="Times New Roman" w:hAnsi="Times New Roman" w:cs="Times New Roman"/>
                <w:b w:val="0"/>
                <w:bCs w:val="0"/>
                <w:sz w:val="24"/>
                <w:szCs w:val="24"/>
              </w:rPr>
              <w:t>的绿化及道路洒水降尘，不外排，雨天暂存于回用水池。</w:t>
            </w:r>
          </w:p>
        </w:tc>
        <w:tc>
          <w:tcPr>
            <w:tcW w:w="1140" w:type="dxa"/>
            <w:gridSpan w:val="2"/>
            <w:tcBorders>
              <w:tl2br w:val="nil"/>
              <w:tr2bl w:val="nil"/>
            </w:tcBorders>
            <w:vAlign w:val="center"/>
          </w:tcPr>
          <w:p>
            <w:pPr>
              <w:pStyle w:val="45"/>
              <w:bidi w:val="0"/>
              <w:jc w:val="center"/>
              <w:rPr>
                <w:rFonts w:hint="default" w:ascii="Times New Roman" w:hAnsi="Times New Roman" w:cs="Times New Roman"/>
                <w:b w:val="0"/>
                <w:bCs w:val="0"/>
                <w:sz w:val="24"/>
                <w:szCs w:val="24"/>
              </w:rPr>
            </w:pPr>
          </w:p>
          <w:p>
            <w:pPr>
              <w:pStyle w:val="45"/>
              <w:bidi w:val="0"/>
              <w:jc w:val="center"/>
              <w:rPr>
                <w:rFonts w:hint="default" w:ascii="Times New Roman" w:hAnsi="Times New Roman" w:cs="Times New Roman"/>
                <w:b w:val="0"/>
                <w:bCs w:val="0"/>
                <w:sz w:val="24"/>
                <w:szCs w:val="24"/>
              </w:rPr>
            </w:pPr>
          </w:p>
          <w:p>
            <w:pPr>
              <w:pStyle w:val="45"/>
              <w:bidi w:val="0"/>
              <w:jc w:val="center"/>
              <w:rPr>
                <w:rFonts w:hint="default" w:ascii="Times New Roman" w:hAnsi="Times New Roman" w:cs="Times New Roman"/>
                <w:b w:val="0"/>
                <w:bCs w:val="0"/>
                <w:sz w:val="24"/>
                <w:szCs w:val="24"/>
              </w:rPr>
            </w:pPr>
          </w:p>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达到《城市污水再生利用城市杂用水水质》（GB/T18920-2020）中</w:t>
            </w:r>
          </w:p>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表1城市绿化、道路清扫标准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gridBefore w:val="1"/>
          <w:wBefore w:w="4" w:type="dxa"/>
          <w:trHeight w:val="1299" w:hRule="atLeast"/>
        </w:trPr>
        <w:tc>
          <w:tcPr>
            <w:tcW w:w="1398" w:type="dxa"/>
            <w:vMerge w:val="continue"/>
            <w:tcBorders>
              <w:tl2br w:val="nil"/>
              <w:tr2bl w:val="nil"/>
            </w:tcBorders>
            <w:vAlign w:val="center"/>
          </w:tcPr>
          <w:p>
            <w:pPr>
              <w:pStyle w:val="45"/>
              <w:bidi w:val="0"/>
              <w:jc w:val="center"/>
              <w:rPr>
                <w:rFonts w:hint="default" w:ascii="Times New Roman" w:hAnsi="Times New Roman" w:cs="Times New Roman"/>
                <w:b w:val="0"/>
                <w:bCs w:val="0"/>
                <w:sz w:val="24"/>
                <w:szCs w:val="24"/>
              </w:rPr>
            </w:pPr>
          </w:p>
        </w:tc>
        <w:tc>
          <w:tcPr>
            <w:tcW w:w="827" w:type="dxa"/>
            <w:gridSpan w:val="2"/>
            <w:tcBorders>
              <w:tl2br w:val="nil"/>
              <w:tr2bl w:val="nil"/>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远期</w:t>
            </w:r>
          </w:p>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排水</w:t>
            </w:r>
          </w:p>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体制</w:t>
            </w:r>
          </w:p>
        </w:tc>
        <w:tc>
          <w:tcPr>
            <w:tcW w:w="823" w:type="dxa"/>
            <w:gridSpan w:val="2"/>
            <w:vMerge w:val="continue"/>
            <w:tcBorders>
              <w:tl2br w:val="nil"/>
              <w:tr2bl w:val="nil"/>
            </w:tcBorders>
            <w:vAlign w:val="center"/>
          </w:tcPr>
          <w:p>
            <w:pPr>
              <w:pStyle w:val="45"/>
              <w:bidi w:val="0"/>
              <w:jc w:val="center"/>
              <w:rPr>
                <w:rFonts w:hint="default" w:ascii="Times New Roman" w:hAnsi="Times New Roman" w:cs="Times New Roman"/>
                <w:b w:val="0"/>
                <w:bCs w:val="0"/>
                <w:sz w:val="24"/>
                <w:szCs w:val="24"/>
              </w:rPr>
            </w:pPr>
          </w:p>
        </w:tc>
        <w:tc>
          <w:tcPr>
            <w:tcW w:w="1329" w:type="dxa"/>
            <w:vMerge w:val="continue"/>
            <w:tcBorders>
              <w:tl2br w:val="nil"/>
              <w:tr2bl w:val="nil"/>
            </w:tcBorders>
            <w:vAlign w:val="center"/>
          </w:tcPr>
          <w:p>
            <w:pPr>
              <w:pStyle w:val="45"/>
              <w:bidi w:val="0"/>
              <w:jc w:val="center"/>
              <w:rPr>
                <w:rFonts w:hint="default" w:ascii="Times New Roman" w:hAnsi="Times New Roman" w:cs="Times New Roman"/>
                <w:b w:val="0"/>
                <w:bCs w:val="0"/>
                <w:sz w:val="24"/>
                <w:szCs w:val="24"/>
              </w:rPr>
            </w:pPr>
          </w:p>
        </w:tc>
        <w:tc>
          <w:tcPr>
            <w:tcW w:w="1459" w:type="dxa"/>
            <w:gridSpan w:val="2"/>
            <w:tcBorders>
              <w:tl2br w:val="nil"/>
              <w:tr2bl w:val="nil"/>
            </w:tcBorders>
            <w:vAlign w:val="center"/>
          </w:tcPr>
          <w:p>
            <w:pPr>
              <w:pStyle w:val="45"/>
              <w:bidi w:val="0"/>
              <w:jc w:val="left"/>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①项目区实行雨污分流，雨水经雨水管道外排至园区雨水管网。</w:t>
            </w:r>
          </w:p>
          <w:p>
            <w:pPr>
              <w:pStyle w:val="114"/>
              <w:spacing w:before="26"/>
              <w:ind w:left="0" w:leftChars="0" w:right="100" w:firstLine="0" w:firstLineChars="0"/>
              <w:jc w:val="left"/>
              <w:rPr>
                <w:rFonts w:hint="default" w:ascii="Times New Roman" w:hAnsi="Times New Roman" w:cs="Times New Roman"/>
                <w:b w:val="0"/>
                <w:bCs w:val="0"/>
                <w:sz w:val="24"/>
                <w:szCs w:val="24"/>
              </w:rPr>
            </w:pPr>
            <w:r>
              <w:rPr>
                <w:rFonts w:hint="default" w:ascii="Times New Roman" w:hAnsi="Times New Roman" w:cs="Times New Roman"/>
                <w:b w:val="0"/>
                <w:bCs w:val="0"/>
                <w:spacing w:val="13"/>
                <w:sz w:val="24"/>
                <w:szCs w:val="24"/>
              </w:rPr>
              <w:t>②项目建设</w:t>
            </w:r>
            <w:r>
              <w:rPr>
                <w:rFonts w:hint="default" w:ascii="Times New Roman" w:hAnsi="Times New Roman" w:eastAsia="Times New Roman" w:cs="Times New Roman"/>
                <w:b w:val="0"/>
                <w:bCs w:val="0"/>
                <w:spacing w:val="13"/>
                <w:sz w:val="24"/>
                <w:szCs w:val="24"/>
              </w:rPr>
              <w:t>1</w:t>
            </w:r>
            <w:r>
              <w:rPr>
                <w:rFonts w:hint="default" w:ascii="Times New Roman" w:hAnsi="Times New Roman" w:cs="Times New Roman"/>
                <w:b w:val="0"/>
                <w:bCs w:val="0"/>
                <w:spacing w:val="13"/>
                <w:sz w:val="24"/>
                <w:szCs w:val="24"/>
              </w:rPr>
              <w:t>个容</w:t>
            </w:r>
            <w:r>
              <w:rPr>
                <w:rFonts w:hint="default" w:ascii="Times New Roman" w:hAnsi="Times New Roman" w:cs="Times New Roman"/>
                <w:b w:val="0"/>
                <w:bCs w:val="0"/>
                <w:spacing w:val="-2"/>
                <w:sz w:val="24"/>
                <w:szCs w:val="24"/>
              </w:rPr>
              <w:t>积</w:t>
            </w:r>
            <w:r>
              <w:rPr>
                <w:rFonts w:hint="default" w:ascii="Times New Roman" w:hAnsi="Times New Roman" w:eastAsia="Times New Roman" w:cs="Times New Roman"/>
                <w:b w:val="0"/>
                <w:bCs w:val="0"/>
                <w:spacing w:val="-2"/>
                <w:sz w:val="24"/>
                <w:szCs w:val="24"/>
              </w:rPr>
              <w:t>0.</w:t>
            </w:r>
            <w:r>
              <w:rPr>
                <w:rFonts w:hint="eastAsia" w:ascii="Times New Roman" w:hAnsi="Times New Roman" w:eastAsia="宋体" w:cs="Times New Roman"/>
                <w:b w:val="0"/>
                <w:bCs w:val="0"/>
                <w:spacing w:val="-2"/>
                <w:sz w:val="24"/>
                <w:szCs w:val="24"/>
                <w:lang w:val="en-US" w:eastAsia="zh-CN"/>
              </w:rPr>
              <w:t>5</w:t>
            </w:r>
            <w:r>
              <w:rPr>
                <w:rFonts w:hint="default" w:ascii="Times New Roman" w:hAnsi="Times New Roman" w:eastAsia="宋体" w:cs="Times New Roman"/>
                <w:b w:val="0"/>
                <w:bCs w:val="0"/>
                <w:spacing w:val="-2"/>
                <w:sz w:val="24"/>
                <w:szCs w:val="24"/>
                <w:lang w:eastAsia="zh-CN"/>
              </w:rPr>
              <w:t>m³</w:t>
            </w:r>
            <w:r>
              <w:rPr>
                <w:rFonts w:hint="default" w:ascii="Times New Roman" w:hAnsi="Times New Roman" w:cs="Times New Roman"/>
                <w:b w:val="0"/>
                <w:bCs w:val="0"/>
                <w:spacing w:val="-2"/>
                <w:sz w:val="24"/>
                <w:szCs w:val="24"/>
              </w:rPr>
              <w:t>的</w:t>
            </w:r>
            <w:r>
              <w:rPr>
                <w:rFonts w:hint="eastAsia" w:ascii="Times New Roman" w:hAnsi="Times New Roman" w:cs="Times New Roman"/>
                <w:b w:val="0"/>
                <w:bCs w:val="0"/>
                <w:spacing w:val="-2"/>
                <w:sz w:val="24"/>
                <w:szCs w:val="24"/>
                <w:lang w:eastAsia="zh-CN"/>
              </w:rPr>
              <w:t>油水分离器</w:t>
            </w:r>
            <w:r>
              <w:rPr>
                <w:rFonts w:hint="default" w:ascii="Times New Roman" w:hAnsi="Times New Roman" w:cs="Times New Roman"/>
                <w:b w:val="0"/>
                <w:bCs w:val="0"/>
                <w:spacing w:val="-2"/>
                <w:sz w:val="24"/>
                <w:szCs w:val="24"/>
              </w:rPr>
              <w:t>；</w:t>
            </w:r>
          </w:p>
        </w:tc>
        <w:tc>
          <w:tcPr>
            <w:tcW w:w="1828" w:type="dxa"/>
            <w:tcBorders>
              <w:tl2br w:val="nil"/>
              <w:tr2bl w:val="nil"/>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食堂含油废水经隔油处理后与经化粪池处理后的生活污水一起排</w:t>
            </w:r>
            <w:r>
              <w:rPr>
                <w:rFonts w:hint="default" w:ascii="Times New Roman" w:hAnsi="Times New Roman" w:cs="Times New Roman"/>
                <w:b w:val="0"/>
                <w:bCs w:val="0"/>
                <w:spacing w:val="2"/>
                <w:sz w:val="24"/>
                <w:szCs w:val="24"/>
              </w:rPr>
              <w:t>入园区污水管网，</w:t>
            </w:r>
            <w:r>
              <w:rPr>
                <w:rFonts w:hint="default" w:ascii="Times New Roman" w:hAnsi="Times New Roman" w:cs="Times New Roman"/>
                <w:b w:val="0"/>
                <w:bCs w:val="0"/>
                <w:spacing w:val="21"/>
                <w:sz w:val="24"/>
                <w:szCs w:val="24"/>
              </w:rPr>
              <w:t>最后进入园区污</w:t>
            </w:r>
            <w:r>
              <w:rPr>
                <w:rFonts w:hint="default" w:ascii="Times New Roman" w:hAnsi="Times New Roman" w:cs="Times New Roman"/>
                <w:b w:val="0"/>
                <w:bCs w:val="0"/>
                <w:spacing w:val="6"/>
                <w:sz w:val="24"/>
                <w:szCs w:val="24"/>
              </w:rPr>
              <w:t>水处理厂</w:t>
            </w:r>
          </w:p>
        </w:tc>
        <w:tc>
          <w:tcPr>
            <w:tcW w:w="1140" w:type="dxa"/>
            <w:gridSpan w:val="2"/>
            <w:tcBorders>
              <w:tl2br w:val="nil"/>
              <w:tr2bl w:val="nil"/>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GB/T31962-2015《污水排入城镇下水道</w:t>
            </w:r>
            <w:r>
              <w:rPr>
                <w:rFonts w:hint="default" w:ascii="Times New Roman" w:hAnsi="Times New Roman" w:cs="Times New Roman"/>
                <w:b w:val="0"/>
                <w:bCs w:val="0"/>
                <w:spacing w:val="-1"/>
                <w:sz w:val="24"/>
                <w:szCs w:val="24"/>
              </w:rPr>
              <w:t>水质标</w:t>
            </w:r>
            <w:r>
              <w:rPr>
                <w:rFonts w:hint="default" w:ascii="Times New Roman" w:hAnsi="Times New Roman" w:cs="Times New Roman"/>
                <w:b w:val="0"/>
                <w:bCs w:val="0"/>
                <w:spacing w:val="-6"/>
                <w:sz w:val="24"/>
                <w:szCs w:val="24"/>
              </w:rPr>
              <w:t>准》</w:t>
            </w:r>
            <w:r>
              <w:rPr>
                <w:rFonts w:hint="default" w:ascii="Times New Roman" w:hAnsi="Times New Roman" w:eastAsia="Times New Roman" w:cs="Times New Roman"/>
                <w:b w:val="0"/>
                <w:bCs w:val="0"/>
                <w:spacing w:val="-6"/>
                <w:sz w:val="24"/>
                <w:szCs w:val="24"/>
              </w:rPr>
              <w:t>(</w:t>
            </w:r>
            <w:r>
              <w:rPr>
                <w:rFonts w:hint="default" w:ascii="Times New Roman" w:hAnsi="Times New Roman" w:cs="Times New Roman"/>
                <w:b w:val="0"/>
                <w:bCs w:val="0"/>
                <w:spacing w:val="-6"/>
                <w:sz w:val="24"/>
                <w:szCs w:val="24"/>
              </w:rPr>
              <w:t>表</w:t>
            </w:r>
            <w:r>
              <w:rPr>
                <w:rFonts w:hint="default" w:ascii="Times New Roman" w:hAnsi="Times New Roman" w:eastAsia="Times New Roman" w:cs="Times New Roman"/>
                <w:b w:val="0"/>
                <w:bCs w:val="0"/>
                <w:sz w:val="24"/>
                <w:szCs w:val="24"/>
              </w:rPr>
              <w:t>1)A</w:t>
            </w:r>
            <w:r>
              <w:rPr>
                <w:rFonts w:hint="default" w:ascii="Times New Roman" w:hAnsi="Times New Roman" w:cs="Times New Roman"/>
                <w:b w:val="0"/>
                <w:bCs w:val="0"/>
                <w:sz w:val="24"/>
                <w:szCs w:val="24"/>
              </w:rPr>
              <w:t>等级</w:t>
            </w:r>
            <w:r>
              <w:rPr>
                <w:rFonts w:hint="default" w:ascii="Times New Roman" w:hAnsi="Times New Roman" w:cs="Times New Roman"/>
                <w:b w:val="0"/>
                <w:bCs w:val="0"/>
                <w:spacing w:val="4"/>
                <w:sz w:val="24"/>
                <w:szCs w:val="24"/>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3790" w:hRule="atLeast"/>
        </w:trPr>
        <w:tc>
          <w:tcPr>
            <w:tcW w:w="1402" w:type="dxa"/>
            <w:gridSpan w:val="2"/>
            <w:tcBorders>
              <w:left w:val="single" w:color="000000" w:sz="6" w:space="0"/>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声环境</w:t>
            </w:r>
          </w:p>
        </w:tc>
        <w:tc>
          <w:tcPr>
            <w:tcW w:w="1646" w:type="dxa"/>
            <w:gridSpan w:val="3"/>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生产设备</w:t>
            </w:r>
          </w:p>
        </w:tc>
        <w:tc>
          <w:tcPr>
            <w:tcW w:w="1333" w:type="dxa"/>
            <w:gridSpan w:val="2"/>
            <w:vAlign w:val="center"/>
          </w:tcPr>
          <w:p>
            <w:pPr>
              <w:pStyle w:val="45"/>
              <w:bidi w:val="0"/>
              <w:jc w:val="center"/>
              <w:rPr>
                <w:rFonts w:hint="default" w:ascii="Times New Roman" w:hAnsi="Times New Roman" w:eastAsia="宋体" w:cs="Times New Roman"/>
                <w:b w:val="0"/>
                <w:bCs w:val="0"/>
                <w:sz w:val="24"/>
                <w:szCs w:val="24"/>
                <w:lang w:eastAsia="zh-CN"/>
              </w:rPr>
            </w:pPr>
            <w:r>
              <w:rPr>
                <w:rFonts w:hint="default" w:ascii="Times New Roman" w:hAnsi="Times New Roman" w:cs="Times New Roman"/>
                <w:b w:val="0"/>
                <w:bCs w:val="0"/>
                <w:sz w:val="24"/>
                <w:szCs w:val="24"/>
                <w:lang w:val="en-US" w:eastAsia="zh-CN"/>
              </w:rPr>
              <w:t>噪声</w:t>
            </w:r>
          </w:p>
        </w:tc>
        <w:tc>
          <w:tcPr>
            <w:tcW w:w="1455" w:type="dxa"/>
            <w:vAlign w:val="center"/>
          </w:tcPr>
          <w:p>
            <w:pPr>
              <w:pStyle w:val="45"/>
              <w:bidi w:val="0"/>
              <w:jc w:val="left"/>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①尽量选用低噪声设备；</w:t>
            </w:r>
          </w:p>
          <w:p>
            <w:pPr>
              <w:pStyle w:val="45"/>
              <w:bidi w:val="0"/>
              <w:jc w:val="left"/>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②合理布局生产设备，将高噪声设备尽量设置在车间内；</w:t>
            </w:r>
          </w:p>
          <w:p>
            <w:pPr>
              <w:pStyle w:val="45"/>
              <w:bidi w:val="0"/>
              <w:jc w:val="left"/>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③对高噪声设备中的机械噪声源进行加减震垫降噪；</w:t>
            </w:r>
          </w:p>
          <w:p>
            <w:pPr>
              <w:pStyle w:val="45"/>
              <w:bidi w:val="0"/>
              <w:jc w:val="left"/>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④加强生产设备的维修、管理，保证生产设备处于低噪、高效状态；</w:t>
            </w:r>
          </w:p>
        </w:tc>
        <w:tc>
          <w:tcPr>
            <w:tcW w:w="2968" w:type="dxa"/>
            <w:gridSpan w:val="3"/>
            <w:tcBorders>
              <w:right w:val="single" w:color="000000" w:sz="6" w:space="0"/>
            </w:tcBorders>
            <w:vAlign w:val="center"/>
          </w:tcPr>
          <w:p>
            <w:pPr>
              <w:pStyle w:val="45"/>
              <w:bidi w:val="0"/>
              <w:jc w:val="left"/>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本项目厂界</w:t>
            </w:r>
            <w:r>
              <w:rPr>
                <w:rFonts w:hint="default" w:ascii="Times New Roman" w:hAnsi="Times New Roman" w:cs="Times New Roman"/>
                <w:b w:val="0"/>
                <w:bCs w:val="0"/>
                <w:sz w:val="24"/>
                <w:szCs w:val="24"/>
                <w:lang w:val="en-US" w:eastAsia="zh-CN"/>
              </w:rPr>
              <w:t>四周</w:t>
            </w:r>
            <w:r>
              <w:rPr>
                <w:rFonts w:hint="default" w:ascii="Times New Roman" w:hAnsi="Times New Roman" w:cs="Times New Roman"/>
                <w:b w:val="0"/>
                <w:bCs w:val="0"/>
                <w:sz w:val="24"/>
                <w:szCs w:val="24"/>
              </w:rPr>
              <w:t>噪声执行《工业企业厂界环境噪声排放标准》（GB12348-2008）3类区标准，即：昼间≤65dB；</w:t>
            </w:r>
          </w:p>
          <w:p>
            <w:pPr>
              <w:pStyle w:val="45"/>
              <w:bidi w:val="0"/>
              <w:jc w:val="left"/>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提古村项目所在地场界声环境质量现状就能达到执行《工业企业厂界环境噪声排放标准》（GB12348-2008）2类标准。即昼间≤60dB（A）；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410" w:hRule="atLeast"/>
        </w:trPr>
        <w:tc>
          <w:tcPr>
            <w:tcW w:w="1402" w:type="dxa"/>
            <w:gridSpan w:val="2"/>
            <w:tcBorders>
              <w:left w:val="single" w:color="000000" w:sz="6" w:space="0"/>
            </w:tcBorders>
            <w:vAlign w:val="top"/>
          </w:tcPr>
          <w:p>
            <w:pPr>
              <w:pStyle w:val="45"/>
              <w:bidi w:val="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电磁辐射</w:t>
            </w:r>
          </w:p>
        </w:tc>
        <w:tc>
          <w:tcPr>
            <w:tcW w:w="1646" w:type="dxa"/>
            <w:gridSpan w:val="3"/>
            <w:vAlign w:val="top"/>
          </w:tcPr>
          <w:p>
            <w:pPr>
              <w:pStyle w:val="45"/>
              <w:bidi w:val="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w:t>
            </w:r>
          </w:p>
        </w:tc>
        <w:tc>
          <w:tcPr>
            <w:tcW w:w="1333" w:type="dxa"/>
            <w:gridSpan w:val="2"/>
            <w:vAlign w:val="top"/>
          </w:tcPr>
          <w:p>
            <w:pPr>
              <w:pStyle w:val="45"/>
              <w:bidi w:val="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w:t>
            </w:r>
          </w:p>
        </w:tc>
        <w:tc>
          <w:tcPr>
            <w:tcW w:w="1455" w:type="dxa"/>
            <w:vAlign w:val="top"/>
          </w:tcPr>
          <w:p>
            <w:pPr>
              <w:pStyle w:val="45"/>
              <w:bidi w:val="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w:t>
            </w:r>
          </w:p>
        </w:tc>
        <w:tc>
          <w:tcPr>
            <w:tcW w:w="2968" w:type="dxa"/>
            <w:gridSpan w:val="3"/>
            <w:tcBorders>
              <w:right w:val="single" w:color="000000" w:sz="6" w:space="0"/>
            </w:tcBorders>
            <w:vAlign w:val="top"/>
          </w:tcPr>
          <w:p>
            <w:pPr>
              <w:pStyle w:val="45"/>
              <w:bidi w:val="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1100" w:hRule="atLeast"/>
        </w:trPr>
        <w:tc>
          <w:tcPr>
            <w:tcW w:w="1402" w:type="dxa"/>
            <w:gridSpan w:val="2"/>
            <w:tcBorders>
              <w:left w:val="single" w:color="000000" w:sz="6" w:space="0"/>
            </w:tcBorders>
            <w:vAlign w:val="top"/>
          </w:tcPr>
          <w:p>
            <w:pPr>
              <w:pStyle w:val="45"/>
              <w:bidi w:val="0"/>
              <w:rPr>
                <w:rFonts w:hint="default" w:ascii="Times New Roman" w:hAnsi="Times New Roman" w:cs="Times New Roman"/>
                <w:b w:val="0"/>
                <w:bCs w:val="0"/>
                <w:sz w:val="24"/>
                <w:szCs w:val="24"/>
              </w:rPr>
            </w:pPr>
          </w:p>
          <w:p>
            <w:pPr>
              <w:pStyle w:val="45"/>
              <w:bidi w:val="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固体废物</w:t>
            </w:r>
          </w:p>
        </w:tc>
        <w:tc>
          <w:tcPr>
            <w:tcW w:w="7402" w:type="dxa"/>
            <w:gridSpan w:val="9"/>
            <w:tcBorders>
              <w:right w:val="single" w:color="000000" w:sz="6" w:space="0"/>
            </w:tcBorders>
            <w:vAlign w:val="top"/>
          </w:tcPr>
          <w:p>
            <w:pPr>
              <w:pStyle w:val="45"/>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项目运营期产生的生活垃圾、餐饮垃圾、</w:t>
            </w:r>
            <w:r>
              <w:rPr>
                <w:rFonts w:hint="eastAsia" w:ascii="Times New Roman" w:hAnsi="Times New Roman" w:cs="Times New Roman"/>
                <w:b w:val="0"/>
                <w:bCs w:val="0"/>
                <w:sz w:val="24"/>
                <w:szCs w:val="24"/>
                <w:lang w:eastAsia="zh-CN"/>
              </w:rPr>
              <w:t>油水分离器</w:t>
            </w:r>
            <w:r>
              <w:rPr>
                <w:rFonts w:hint="default" w:ascii="Times New Roman" w:hAnsi="Times New Roman" w:cs="Times New Roman"/>
                <w:b w:val="0"/>
                <w:bCs w:val="0"/>
                <w:sz w:val="24"/>
                <w:szCs w:val="24"/>
              </w:rPr>
              <w:t>油污、化粪池污泥、一体化污水处理设施交与云南鑫成鹏高分子科技有限公司一同委托环卫部门定期清掏和清运处置。玻璃次品、包装固废外售废品回收站</w:t>
            </w:r>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废弃密封胶桶</w:t>
            </w:r>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废活性炭、废润滑油、废润滑油桶委托</w:t>
            </w:r>
            <w:r>
              <w:rPr>
                <w:rFonts w:hint="default" w:ascii="Times New Roman" w:hAnsi="Times New Roman" w:cs="Times New Roman"/>
                <w:b w:val="0"/>
                <w:bCs w:val="0"/>
                <w:sz w:val="24"/>
                <w:szCs w:val="24"/>
                <w:lang w:eastAsia="zh-CN"/>
              </w:rPr>
              <w:t>有资质单位清运处置</w:t>
            </w:r>
            <w:r>
              <w:rPr>
                <w:rFonts w:hint="default" w:ascii="Times New Roman" w:hAnsi="Times New Roman" w:cs="Times New Roman"/>
                <w:b w:val="0"/>
                <w:bCs w:val="0"/>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1365" w:hRule="atLeast"/>
        </w:trPr>
        <w:tc>
          <w:tcPr>
            <w:tcW w:w="1402" w:type="dxa"/>
            <w:gridSpan w:val="2"/>
            <w:tcBorders>
              <w:left w:val="single" w:color="000000" w:sz="6" w:space="0"/>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土壤及地下水</w:t>
            </w:r>
          </w:p>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污染防治措施</w:t>
            </w:r>
          </w:p>
        </w:tc>
        <w:tc>
          <w:tcPr>
            <w:tcW w:w="7402" w:type="dxa"/>
            <w:gridSpan w:val="9"/>
            <w:tcBorders>
              <w:right w:val="single" w:color="000000" w:sz="6" w:space="0"/>
            </w:tcBorders>
            <w:vAlign w:val="top"/>
          </w:tcPr>
          <w:p>
            <w:pPr>
              <w:pStyle w:val="45"/>
              <w:bidi w:val="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①重点防渗区（危险废物暂存间）按照《危险废物贮存污染控制标准（GB18597-20</w:t>
            </w:r>
            <w:r>
              <w:rPr>
                <w:rFonts w:hint="default" w:ascii="Times New Roman" w:hAnsi="Times New Roman" w:cs="Times New Roman"/>
                <w:b w:val="0"/>
                <w:bCs w:val="0"/>
                <w:sz w:val="24"/>
                <w:szCs w:val="24"/>
                <w:lang w:val="en-US" w:eastAsia="zh-CN"/>
              </w:rPr>
              <w:t>23</w:t>
            </w:r>
            <w:r>
              <w:rPr>
                <w:rFonts w:hint="default" w:ascii="Times New Roman" w:hAnsi="Times New Roman" w:cs="Times New Roman"/>
                <w:b w:val="0"/>
                <w:bCs w:val="0"/>
                <w:sz w:val="24"/>
                <w:szCs w:val="24"/>
              </w:rPr>
              <w:t>）中要求建设。</w:t>
            </w:r>
          </w:p>
          <w:p>
            <w:pPr>
              <w:pStyle w:val="45"/>
              <w:bidi w:val="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②一般防渗区（成品仓库、生产车间、污水处理设施）根据项目设计方案进行防渗，要求等效黏土层Mb≥1.5m，渗透系数≤1×10</w:t>
            </w:r>
            <w:r>
              <w:rPr>
                <w:rFonts w:hint="default" w:ascii="Times New Roman" w:hAnsi="Times New Roman" w:cs="Times New Roman"/>
                <w:b w:val="0"/>
                <w:bCs w:val="0"/>
                <w:sz w:val="24"/>
                <w:szCs w:val="24"/>
                <w:vertAlign w:val="superscript"/>
              </w:rPr>
              <w:t>-7</w:t>
            </w:r>
            <w:r>
              <w:rPr>
                <w:rFonts w:hint="default" w:ascii="Times New Roman" w:hAnsi="Times New Roman" w:cs="Times New Roman"/>
                <w:b w:val="0"/>
                <w:bCs w:val="0"/>
                <w:sz w:val="24"/>
                <w:szCs w:val="24"/>
              </w:rPr>
              <w:t>cm/s。</w:t>
            </w:r>
          </w:p>
          <w:p>
            <w:pPr>
              <w:pStyle w:val="45"/>
              <w:bidi w:val="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③简单防渗区（其他区域）：混凝土硬化。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549" w:hRule="atLeast"/>
        </w:trPr>
        <w:tc>
          <w:tcPr>
            <w:tcW w:w="1402" w:type="dxa"/>
            <w:gridSpan w:val="2"/>
            <w:tcBorders>
              <w:left w:val="single" w:color="000000" w:sz="6" w:space="0"/>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生态保护措施</w:t>
            </w:r>
          </w:p>
        </w:tc>
        <w:tc>
          <w:tcPr>
            <w:tcW w:w="7402" w:type="dxa"/>
            <w:gridSpan w:val="9"/>
            <w:tcBorders>
              <w:right w:val="single" w:color="000000" w:sz="6" w:space="0"/>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3553" w:hRule="atLeast"/>
        </w:trPr>
        <w:tc>
          <w:tcPr>
            <w:tcW w:w="1402" w:type="dxa"/>
            <w:gridSpan w:val="2"/>
            <w:tcBorders>
              <w:left w:val="single" w:color="000000" w:sz="6" w:space="0"/>
              <w:bottom w:val="single" w:color="000000" w:sz="6" w:space="0"/>
            </w:tcBorders>
            <w:vAlign w:val="center"/>
          </w:tcPr>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环境风险</w:t>
            </w:r>
          </w:p>
          <w:p>
            <w:pPr>
              <w:pStyle w:val="45"/>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防范措施</w:t>
            </w:r>
          </w:p>
        </w:tc>
        <w:tc>
          <w:tcPr>
            <w:tcW w:w="7402" w:type="dxa"/>
            <w:gridSpan w:val="9"/>
            <w:tcBorders>
              <w:bottom w:val="single" w:color="000000" w:sz="6" w:space="0"/>
              <w:right w:val="single" w:color="000000" w:sz="6" w:space="0"/>
            </w:tcBorders>
            <w:vAlign w:val="center"/>
          </w:tcPr>
          <w:p>
            <w:pPr>
              <w:pStyle w:val="45"/>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①维修产生的废润滑油需有专门的房间储存，全部进行防渗、防漏处理，存放区严禁烟火，电器与设备采用防爆设备。</w:t>
            </w:r>
          </w:p>
          <w:p>
            <w:pPr>
              <w:pStyle w:val="45"/>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②针对项目原料、废物，项目采取分区防渗的处理措施进行控制，以此减少项目泄漏对地下水、土壤的影响。</w:t>
            </w:r>
          </w:p>
          <w:p>
            <w:pPr>
              <w:pStyle w:val="45"/>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③应急处理：迅速撤离火灾污染区人员至上风处，并立即进行隔离，若发生爆炸事故，撤离距离需加长，并严格限制出入。</w:t>
            </w:r>
          </w:p>
          <w:p>
            <w:pPr>
              <w:pStyle w:val="45"/>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④制定操作管理规程，并对相关人员进行培训，配备相关措施。</w:t>
            </w:r>
          </w:p>
          <w:p>
            <w:pPr>
              <w:pStyle w:val="45"/>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⑤严格规范员工操作，做好防护措施，加强职工的安全教育，提高安全素质，严格执行作业规程，严禁无证上岗，严禁违章作业，防止因失误操作造成环境风险事故的发生；</w:t>
            </w:r>
          </w:p>
          <w:p>
            <w:pPr>
              <w:pStyle w:val="45"/>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⑥为保证企业及人民生命财产的安全，防止突发性重大化学事故发生，并在发生事故时，能迅速有序地开展救援工作，尽最大努力减少事故的危害和损失，项目应编制相关的应急预案。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dxa"/>
          <w:trHeight w:val="3549" w:hRule="atLeast"/>
        </w:trPr>
        <w:tc>
          <w:tcPr>
            <w:tcW w:w="1402" w:type="dxa"/>
            <w:gridSpan w:val="2"/>
            <w:tcBorders>
              <w:right w:val="single" w:color="000000" w:sz="2" w:space="0"/>
            </w:tcBorders>
            <w:vAlign w:val="top"/>
          </w:tcPr>
          <w:p>
            <w:pPr>
              <w:pStyle w:val="45"/>
              <w:bidi w:val="0"/>
              <w:rPr>
                <w:rFonts w:hint="default" w:ascii="Times New Roman" w:hAnsi="Times New Roman" w:cs="Times New Roman"/>
                <w:b w:val="0"/>
                <w:bCs w:val="0"/>
                <w:sz w:val="24"/>
                <w:szCs w:val="24"/>
              </w:rPr>
            </w:pPr>
          </w:p>
          <w:p>
            <w:pPr>
              <w:pStyle w:val="45"/>
              <w:bidi w:val="0"/>
              <w:rPr>
                <w:rFonts w:hint="default" w:ascii="Times New Roman" w:hAnsi="Times New Roman" w:cs="Times New Roman"/>
                <w:b w:val="0"/>
                <w:bCs w:val="0"/>
                <w:sz w:val="24"/>
                <w:szCs w:val="24"/>
              </w:rPr>
            </w:pPr>
          </w:p>
          <w:p>
            <w:pPr>
              <w:pStyle w:val="45"/>
              <w:bidi w:val="0"/>
              <w:rPr>
                <w:rFonts w:hint="default" w:ascii="Times New Roman" w:hAnsi="Times New Roman" w:cs="Times New Roman"/>
                <w:b w:val="0"/>
                <w:bCs w:val="0"/>
                <w:sz w:val="24"/>
                <w:szCs w:val="24"/>
              </w:rPr>
            </w:pPr>
          </w:p>
          <w:p>
            <w:pPr>
              <w:pStyle w:val="45"/>
              <w:bidi w:val="0"/>
              <w:rPr>
                <w:rFonts w:hint="default" w:ascii="Times New Roman" w:hAnsi="Times New Roman" w:cs="Times New Roman"/>
                <w:b w:val="0"/>
                <w:bCs w:val="0"/>
                <w:sz w:val="24"/>
                <w:szCs w:val="24"/>
              </w:rPr>
            </w:pPr>
          </w:p>
          <w:p>
            <w:pPr>
              <w:pStyle w:val="45"/>
              <w:bidi w:val="0"/>
              <w:rPr>
                <w:rFonts w:hint="default" w:ascii="Times New Roman" w:hAnsi="Times New Roman" w:cs="Times New Roman"/>
                <w:b w:val="0"/>
                <w:bCs w:val="0"/>
                <w:sz w:val="24"/>
                <w:szCs w:val="24"/>
              </w:rPr>
            </w:pPr>
          </w:p>
          <w:p>
            <w:pPr>
              <w:pStyle w:val="45"/>
              <w:bidi w:val="0"/>
              <w:rPr>
                <w:rFonts w:hint="default" w:ascii="Times New Roman" w:hAnsi="Times New Roman" w:cs="Times New Roman"/>
                <w:b w:val="0"/>
                <w:bCs w:val="0"/>
                <w:sz w:val="24"/>
                <w:szCs w:val="24"/>
              </w:rPr>
            </w:pPr>
          </w:p>
          <w:p>
            <w:pPr>
              <w:pStyle w:val="45"/>
              <w:bidi w:val="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其他环境</w:t>
            </w:r>
          </w:p>
          <w:p>
            <w:pPr>
              <w:pStyle w:val="45"/>
              <w:bidi w:val="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管理要求</w:t>
            </w:r>
          </w:p>
        </w:tc>
        <w:tc>
          <w:tcPr>
            <w:tcW w:w="7402" w:type="dxa"/>
            <w:gridSpan w:val="9"/>
            <w:tcBorders>
              <w:left w:val="single" w:color="000000" w:sz="2" w:space="0"/>
            </w:tcBorders>
            <w:vAlign w:val="top"/>
          </w:tcPr>
          <w:p>
            <w:pPr>
              <w:pStyle w:val="45"/>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①项目在建设和营运中应认真执行国家、地方环境保护的有关规定和要求。按照当地环保部门的要求及时反映发生的环保问题，随时接受各级环保部门的检查监督。</w:t>
            </w:r>
          </w:p>
          <w:p>
            <w:pPr>
              <w:pStyle w:val="45"/>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②建设单位以后如需增加本报告表所涉及之外的污染源或对其功能进行改变，则应按要求向有关环保部门进行申报，并按污染控制目标采取相应的污染治理措施。</w:t>
            </w:r>
          </w:p>
          <w:p>
            <w:pPr>
              <w:pStyle w:val="45"/>
              <w:keepNext w:val="0"/>
              <w:keepLines w:val="0"/>
              <w:pageBreakBefore w:val="0"/>
              <w:widowControl w:val="0"/>
              <w:kinsoku/>
              <w:wordWrap/>
              <w:overflowPunct/>
              <w:topLinePunct w:val="0"/>
              <w:autoSpaceDE/>
              <w:autoSpaceDN/>
              <w:bidi w:val="0"/>
              <w:adjustRightInd/>
              <w:snapToGrid/>
              <w:ind w:left="480" w:leftChars="200" w:firstLine="0" w:firstLineChars="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③配备专职或兼职环境保护管理人员，对日常环保工作进行管理。④加强项目区内绿化，厂区雨污管网的建设。</w:t>
            </w:r>
          </w:p>
          <w:p>
            <w:pPr>
              <w:pStyle w:val="45"/>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⑤加强机械设备的维护保养，保证厂界噪声达标排放。</w:t>
            </w:r>
          </w:p>
          <w:p>
            <w:pPr>
              <w:pStyle w:val="45"/>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⑥加强环保设施的管理，定期检查项目内环保设施运行情况，保证厂界无组织废气达标排放。</w:t>
            </w:r>
          </w:p>
          <w:p>
            <w:pPr>
              <w:pStyle w:val="45"/>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⑦加强项目在职员工的环保意识，加强环境保护的自觉性，不断提高环境管理水平。</w:t>
            </w:r>
          </w:p>
        </w:tc>
      </w:tr>
    </w:tbl>
    <w:p>
      <w:pPr>
        <w:pStyle w:val="24"/>
        <w:jc w:val="center"/>
        <w:outlineLvl w:val="9"/>
        <w:rPr>
          <w:rFonts w:hint="default" w:ascii="Times New Roman" w:hAnsi="Times New Roman" w:cs="Times New Roman"/>
          <w:snapToGrid w:val="0"/>
          <w:color w:val="auto"/>
          <w:sz w:val="21"/>
          <w:szCs w:val="21"/>
        </w:rPr>
        <w:sectPr>
          <w:pgSz w:w="11906" w:h="16838"/>
          <w:pgMar w:top="1134" w:right="1531" w:bottom="1134" w:left="1531" w:header="851" w:footer="850" w:gutter="0"/>
          <w:pgBorders>
            <w:top w:val="none" w:sz="0" w:space="0"/>
            <w:left w:val="none" w:sz="0" w:space="0"/>
            <w:bottom w:val="none" w:sz="0" w:space="0"/>
            <w:right w:val="none" w:sz="0" w:space="0"/>
          </w:pgBorders>
          <w:cols w:space="720" w:num="1"/>
          <w:docGrid w:linePitch="312" w:charSpace="0"/>
        </w:sectPr>
      </w:pPr>
    </w:p>
    <w:p>
      <w:pPr>
        <w:pStyle w:val="2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黑体" w:cs="Times New Roman"/>
          <w:snapToGrid w:val="0"/>
          <w:color w:val="auto"/>
          <w:sz w:val="30"/>
          <w:szCs w:val="30"/>
        </w:rPr>
      </w:pPr>
      <w:bookmarkStart w:id="25" w:name="_Toc22585"/>
      <w:bookmarkStart w:id="26" w:name="_Toc18262"/>
      <w:r>
        <w:rPr>
          <w:rFonts w:hint="default" w:ascii="Times New Roman" w:hAnsi="Times New Roman" w:eastAsia="黑体" w:cs="Times New Roman"/>
          <w:snapToGrid w:val="0"/>
          <w:color w:val="auto"/>
          <w:sz w:val="30"/>
          <w:szCs w:val="30"/>
        </w:rPr>
        <w:t>六、结论</w:t>
      </w:r>
      <w:bookmarkEnd w:id="25"/>
      <w:bookmarkEnd w:id="26"/>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的建设符合国家、地方产业政策，以及相关规划，不涉及自然保护区、风景名胜区、水源保护区等环境敏感区，与周围居民点、学校、医院等关心点距离较远，选址合理。在采取环评提出的措施后，项目产生的废气、废水、噪声均可达标排放，固废处置率100%，对当地环境质量及主要关心点环境影响较小，符合达标排放、总量控制和不降低当地环境功能的原则要求，符合国家法律法规要求。</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本项目在严格执行环境保护“三同时”制度，严格进行环境管理，保证项目内的废气处理设施及其他环保设施的正常运行，污染物达标排放的条件下，从环境保护角度论证，本项目的建设是可行的。</w:t>
            </w: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adjustRightInd w:val="0"/>
              <w:snapToGrid w:val="0"/>
              <w:spacing w:line="360" w:lineRule="auto"/>
              <w:ind w:firstLine="480" w:firstLineChars="200"/>
              <w:rPr>
                <w:rFonts w:hint="default" w:ascii="Times New Roman" w:hAnsi="Times New Roman" w:cs="Times New Roman"/>
                <w:color w:val="auto"/>
                <w:szCs w:val="21"/>
              </w:rPr>
            </w:pPr>
          </w:p>
          <w:p>
            <w:pPr>
              <w:spacing w:line="360" w:lineRule="auto"/>
              <w:rPr>
                <w:rFonts w:hint="default" w:ascii="Times New Roman" w:hAnsi="Times New Roman" w:cs="Times New Roman"/>
                <w:color w:val="auto"/>
                <w:szCs w:val="21"/>
              </w:rPr>
            </w:pPr>
          </w:p>
        </w:tc>
      </w:tr>
    </w:tbl>
    <w:p>
      <w:pPr>
        <w:rPr>
          <w:rFonts w:hint="default" w:ascii="Times New Roman" w:hAnsi="Times New Roman" w:cs="Times New Roman"/>
          <w:color w:val="auto"/>
          <w:szCs w:val="21"/>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4"/>
        <w:adjustRightInd w:val="0"/>
        <w:snapToGrid w:val="0"/>
        <w:spacing w:before="0" w:beforeAutospacing="0" w:after="0" w:afterAutospacing="0"/>
        <w:ind w:firstLine="640"/>
        <w:rPr>
          <w:rFonts w:hint="default" w:ascii="Times New Roman" w:hAnsi="Times New Roman" w:eastAsia="黑体" w:cs="Times New Roman"/>
          <w:snapToGrid w:val="0"/>
          <w:sz w:val="32"/>
          <w:szCs w:val="32"/>
        </w:rPr>
      </w:pPr>
      <w:r>
        <w:rPr>
          <w:rFonts w:hint="default" w:ascii="Times New Roman" w:hAnsi="Times New Roman" w:eastAsia="黑体" w:cs="Times New Roman"/>
          <w:snapToGrid w:val="0"/>
          <w:sz w:val="32"/>
          <w:szCs w:val="32"/>
        </w:rPr>
        <w:t>附表</w:t>
      </w:r>
    </w:p>
    <w:p>
      <w:pPr>
        <w:pStyle w:val="24"/>
        <w:adjustRightInd w:val="0"/>
        <w:snapToGrid w:val="0"/>
        <w:spacing w:before="0" w:beforeAutospacing="0" w:after="0" w:afterAutospacing="0"/>
        <w:ind w:firstLine="560"/>
        <w:jc w:val="center"/>
        <w:rPr>
          <w:rFonts w:hint="default" w:ascii="Times New Roman" w:hAnsi="Times New Roman" w:eastAsia="方正小标宋_GBK" w:cs="Times New Roman"/>
          <w:b/>
          <w:bCs/>
          <w:snapToGrid w:val="0"/>
          <w:sz w:val="28"/>
          <w:szCs w:val="28"/>
        </w:rPr>
      </w:pPr>
      <w:r>
        <w:rPr>
          <w:rFonts w:hint="default" w:ascii="Times New Roman" w:hAnsi="Times New Roman" w:eastAsia="方正小标宋_GBK" w:cs="Times New Roman"/>
          <w:b/>
          <w:bCs/>
          <w:snapToGrid w:val="0"/>
          <w:sz w:val="28"/>
          <w:szCs w:val="28"/>
        </w:rPr>
        <w:t>建设项目污染物排放量汇总表</w:t>
      </w:r>
    </w:p>
    <w:tbl>
      <w:tblPr>
        <w:tblStyle w:val="98"/>
        <w:tblW w:w="51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38"/>
        <w:gridCol w:w="663"/>
        <w:gridCol w:w="1418"/>
        <w:gridCol w:w="1732"/>
        <w:gridCol w:w="1418"/>
        <w:gridCol w:w="1738"/>
        <w:gridCol w:w="1735"/>
        <w:gridCol w:w="1894"/>
        <w:gridCol w:w="1900"/>
        <w:gridCol w:w="1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8" w:hRule="atLeast"/>
          <w:jc w:val="center"/>
        </w:trPr>
        <w:tc>
          <w:tcPr>
            <w:tcW w:w="432" w:type="pct"/>
            <w:gridSpan w:val="2"/>
            <w:tcBorders>
              <w:top w:val="single" w:color="000000" w:sz="10" w:space="0"/>
              <w:left w:val="single" w:color="000000" w:sz="10" w:space="0"/>
              <w:tl2br w:val="single" w:color="000000" w:sz="2"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项目</w:t>
            </w:r>
          </w:p>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sz w:val="21"/>
                <w:szCs w:val="21"/>
              </w:rPr>
            </w:pPr>
          </w:p>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sz w:val="21"/>
                <w:szCs w:val="21"/>
              </w:rPr>
            </w:pPr>
          </w:p>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分类</w:t>
            </w:r>
          </w:p>
        </w:tc>
        <w:tc>
          <w:tcPr>
            <w:tcW w:w="471" w:type="pct"/>
            <w:tcBorders>
              <w:top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污染物名称</w:t>
            </w:r>
          </w:p>
        </w:tc>
        <w:tc>
          <w:tcPr>
            <w:tcW w:w="575" w:type="pct"/>
            <w:tcBorders>
              <w:top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现有工程</w:t>
            </w:r>
          </w:p>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排放量（固体废物产生量）①</w:t>
            </w:r>
          </w:p>
        </w:tc>
        <w:tc>
          <w:tcPr>
            <w:tcW w:w="471" w:type="pct"/>
            <w:tcBorders>
              <w:top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现有工程</w:t>
            </w:r>
          </w:p>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许可排放量</w:t>
            </w:r>
          </w:p>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②</w:t>
            </w:r>
          </w:p>
        </w:tc>
        <w:tc>
          <w:tcPr>
            <w:tcW w:w="577" w:type="pct"/>
            <w:tcBorders>
              <w:top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在建工程</w:t>
            </w:r>
          </w:p>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排放量（固体废物产生量）③</w:t>
            </w:r>
          </w:p>
        </w:tc>
        <w:tc>
          <w:tcPr>
            <w:tcW w:w="576" w:type="pct"/>
            <w:tcBorders>
              <w:top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本项目</w:t>
            </w:r>
          </w:p>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排放量（固体废物产生量）④</w:t>
            </w:r>
          </w:p>
        </w:tc>
        <w:tc>
          <w:tcPr>
            <w:tcW w:w="629" w:type="pct"/>
            <w:tcBorders>
              <w:top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以新带老削减量（新建项目不填）⑤</w:t>
            </w:r>
          </w:p>
        </w:tc>
        <w:tc>
          <w:tcPr>
            <w:tcW w:w="631" w:type="pct"/>
            <w:tcBorders>
              <w:top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本项目建成后</w:t>
            </w:r>
          </w:p>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全厂排放量（固体废物产生量）⑥</w:t>
            </w:r>
          </w:p>
        </w:tc>
        <w:tc>
          <w:tcPr>
            <w:tcW w:w="633" w:type="pct"/>
            <w:tcBorders>
              <w:top w:val="single" w:color="000000" w:sz="10" w:space="0"/>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变化量</w:t>
            </w:r>
          </w:p>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jc w:val="center"/>
        </w:trPr>
        <w:tc>
          <w:tcPr>
            <w:tcW w:w="212" w:type="pct"/>
            <w:vMerge w:val="restart"/>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220" w:type="pct"/>
            <w:vMerge w:val="restart"/>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有组织</w:t>
            </w: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废气量</w:t>
            </w:r>
          </w:p>
        </w:tc>
        <w:tc>
          <w:tcPr>
            <w:tcW w:w="575"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720</w:t>
            </w:r>
            <w:r>
              <w:rPr>
                <w:rFonts w:hint="default" w:ascii="Times New Roman" w:hAnsi="Times New Roman" w:cs="Times New Roman"/>
                <w:sz w:val="21"/>
                <w:szCs w:val="21"/>
              </w:rPr>
              <w:t>万</w:t>
            </w:r>
            <w:r>
              <w:rPr>
                <w:rFonts w:hint="default" w:ascii="Times New Roman" w:hAnsi="Times New Roman" w:cs="Times New Roman"/>
                <w:sz w:val="21"/>
                <w:szCs w:val="21"/>
                <w:lang w:eastAsia="zh-CN"/>
              </w:rPr>
              <w:t>m³</w:t>
            </w: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7"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6000</w:t>
            </w:r>
            <w:r>
              <w:rPr>
                <w:rFonts w:hint="default" w:ascii="Times New Roman" w:hAnsi="Times New Roman" w:cs="Times New Roman"/>
                <w:sz w:val="21"/>
                <w:szCs w:val="21"/>
              </w:rPr>
              <w:t>万</w:t>
            </w:r>
            <w:r>
              <w:rPr>
                <w:rFonts w:hint="default" w:ascii="Times New Roman" w:hAnsi="Times New Roman" w:cs="Times New Roman"/>
                <w:sz w:val="21"/>
                <w:szCs w:val="21"/>
                <w:lang w:eastAsia="zh-CN"/>
              </w:rPr>
              <w:t>m³</w:t>
            </w:r>
          </w:p>
        </w:tc>
        <w:tc>
          <w:tcPr>
            <w:tcW w:w="629"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63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jc w:val="center"/>
        </w:trPr>
        <w:tc>
          <w:tcPr>
            <w:tcW w:w="212" w:type="pct"/>
            <w:vMerge w:val="continue"/>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220" w:type="pct"/>
            <w:vMerge w:val="continue"/>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471" w:type="pct"/>
            <w:noWrap w:val="0"/>
            <w:vAlign w:val="top"/>
          </w:tcPr>
          <w:p>
            <w:pPr>
              <w:pStyle w:val="45"/>
              <w:bidi w:val="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甲苯</w:t>
            </w:r>
          </w:p>
        </w:tc>
        <w:tc>
          <w:tcPr>
            <w:tcW w:w="575" w:type="pct"/>
            <w:noWrap w:val="0"/>
            <w:vAlign w:val="center"/>
          </w:tcPr>
          <w:p>
            <w:pPr>
              <w:pStyle w:val="45"/>
              <w:bidi w:val="0"/>
              <w:jc w:val="center"/>
              <w:rPr>
                <w:rFonts w:hint="default" w:ascii="Times New Roman" w:hAnsi="Times New Roman" w:cs="Times New Roman"/>
                <w:sz w:val="21"/>
                <w:szCs w:val="21"/>
              </w:rPr>
            </w:pPr>
            <w:r>
              <w:rPr>
                <w:rFonts w:hint="default" w:ascii="Times New Roman" w:hAnsi="Times New Roman" w:cs="Times New Roman"/>
                <w:sz w:val="21"/>
                <w:szCs w:val="21"/>
              </w:rPr>
              <w:t>0.014t/a</w:t>
            </w: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7"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0.09</w:t>
            </w:r>
            <w:r>
              <w:rPr>
                <w:rFonts w:hint="default" w:ascii="Times New Roman" w:hAnsi="Times New Roman" w:cs="Times New Roman"/>
                <w:sz w:val="21"/>
                <w:szCs w:val="21"/>
              </w:rPr>
              <w:t>t/a</w:t>
            </w:r>
          </w:p>
        </w:tc>
        <w:tc>
          <w:tcPr>
            <w:tcW w:w="629" w:type="pct"/>
            <w:noWrap w:val="0"/>
            <w:vAlign w:val="top"/>
          </w:tcPr>
          <w:p>
            <w:pPr>
              <w:pStyle w:val="45"/>
              <w:bidi w:val="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0.014t/a</w:t>
            </w:r>
          </w:p>
        </w:tc>
        <w:tc>
          <w:tcPr>
            <w:tcW w:w="63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0.09</w:t>
            </w:r>
            <w:r>
              <w:rPr>
                <w:rFonts w:hint="default" w:ascii="Times New Roman" w:hAnsi="Times New Roman" w:cs="Times New Roman"/>
                <w:sz w:val="21"/>
                <w:szCs w:val="21"/>
              </w:rPr>
              <w:t>t/a</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+0.076</w:t>
            </w:r>
            <w:r>
              <w:rPr>
                <w:rFonts w:hint="default" w:ascii="Times New Roman" w:hAnsi="Times New Roman" w:cs="Times New Roman"/>
                <w:sz w:val="21"/>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jc w:val="center"/>
        </w:trPr>
        <w:tc>
          <w:tcPr>
            <w:tcW w:w="212" w:type="pct"/>
            <w:vMerge w:val="continue"/>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220" w:type="pct"/>
            <w:vMerge w:val="continue"/>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471" w:type="pct"/>
            <w:noWrap w:val="0"/>
            <w:vAlign w:val="top"/>
          </w:tcPr>
          <w:p>
            <w:pPr>
              <w:pStyle w:val="45"/>
              <w:bidi w:val="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二甲苯</w:t>
            </w:r>
          </w:p>
        </w:tc>
        <w:tc>
          <w:tcPr>
            <w:tcW w:w="575" w:type="pct"/>
            <w:noWrap w:val="0"/>
            <w:vAlign w:val="center"/>
          </w:tcPr>
          <w:p>
            <w:pPr>
              <w:pStyle w:val="45"/>
              <w:bidi w:val="0"/>
              <w:jc w:val="center"/>
              <w:rPr>
                <w:rFonts w:hint="default" w:ascii="Times New Roman" w:hAnsi="Times New Roman" w:cs="Times New Roman"/>
                <w:sz w:val="21"/>
                <w:szCs w:val="21"/>
              </w:rPr>
            </w:pPr>
            <w:r>
              <w:rPr>
                <w:rFonts w:hint="default" w:ascii="Times New Roman" w:hAnsi="Times New Roman" w:cs="Times New Roman"/>
                <w:sz w:val="21"/>
                <w:szCs w:val="21"/>
              </w:rPr>
              <w:t>0.014t/a</w:t>
            </w: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7"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0.09</w:t>
            </w:r>
            <w:r>
              <w:rPr>
                <w:rFonts w:hint="default" w:ascii="Times New Roman" w:hAnsi="Times New Roman" w:cs="Times New Roman"/>
                <w:sz w:val="21"/>
                <w:szCs w:val="21"/>
              </w:rPr>
              <w:t>t/a</w:t>
            </w:r>
          </w:p>
        </w:tc>
        <w:tc>
          <w:tcPr>
            <w:tcW w:w="629" w:type="pct"/>
            <w:noWrap w:val="0"/>
            <w:vAlign w:val="top"/>
          </w:tcPr>
          <w:p>
            <w:pPr>
              <w:pStyle w:val="45"/>
              <w:bidi w:val="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0.014t/a</w:t>
            </w:r>
          </w:p>
        </w:tc>
        <w:tc>
          <w:tcPr>
            <w:tcW w:w="63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0.09</w:t>
            </w:r>
            <w:r>
              <w:rPr>
                <w:rFonts w:hint="default" w:ascii="Times New Roman" w:hAnsi="Times New Roman" w:cs="Times New Roman"/>
                <w:sz w:val="21"/>
                <w:szCs w:val="21"/>
              </w:rPr>
              <w:t>t/a</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+0.076</w:t>
            </w:r>
            <w:r>
              <w:rPr>
                <w:rFonts w:hint="default" w:ascii="Times New Roman" w:hAnsi="Times New Roman" w:cs="Times New Roman"/>
                <w:sz w:val="21"/>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jc w:val="center"/>
        </w:trPr>
        <w:tc>
          <w:tcPr>
            <w:tcW w:w="212" w:type="pct"/>
            <w:vMerge w:val="continue"/>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220" w:type="pct"/>
            <w:vMerge w:val="continue"/>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471" w:type="pct"/>
            <w:noWrap w:val="0"/>
            <w:vAlign w:val="top"/>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挥发性有机物</w:t>
            </w:r>
          </w:p>
          <w:p>
            <w:pPr>
              <w:pStyle w:val="45"/>
              <w:bidi w:val="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（以非甲烷总烃计）</w:t>
            </w:r>
          </w:p>
        </w:tc>
        <w:tc>
          <w:tcPr>
            <w:tcW w:w="575" w:type="pct"/>
            <w:noWrap w:val="0"/>
            <w:vAlign w:val="center"/>
          </w:tcPr>
          <w:p>
            <w:pPr>
              <w:pStyle w:val="45"/>
              <w:bidi w:val="0"/>
              <w:jc w:val="center"/>
              <w:rPr>
                <w:rFonts w:hint="default" w:ascii="Times New Roman" w:hAnsi="Times New Roman" w:cs="Times New Roman"/>
                <w:sz w:val="21"/>
                <w:szCs w:val="21"/>
              </w:rPr>
            </w:pPr>
          </w:p>
          <w:p>
            <w:pPr>
              <w:pStyle w:val="45"/>
              <w:bidi w:val="0"/>
              <w:jc w:val="center"/>
              <w:rPr>
                <w:rFonts w:hint="default" w:ascii="Times New Roman" w:hAnsi="Times New Roman" w:cs="Times New Roman"/>
                <w:sz w:val="21"/>
                <w:szCs w:val="21"/>
              </w:rPr>
            </w:pPr>
            <w:r>
              <w:rPr>
                <w:rFonts w:hint="default" w:ascii="Times New Roman" w:hAnsi="Times New Roman" w:cs="Times New Roman"/>
                <w:sz w:val="21"/>
                <w:szCs w:val="21"/>
              </w:rPr>
              <w:t>0.292t/a</w:t>
            </w: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7"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1.83</w:t>
            </w:r>
            <w:r>
              <w:rPr>
                <w:rFonts w:hint="default" w:ascii="Times New Roman" w:hAnsi="Times New Roman" w:cs="Times New Roman"/>
                <w:sz w:val="21"/>
                <w:szCs w:val="21"/>
              </w:rPr>
              <w:t>t/a</w:t>
            </w:r>
          </w:p>
        </w:tc>
        <w:tc>
          <w:tcPr>
            <w:tcW w:w="629" w:type="pct"/>
            <w:noWrap w:val="0"/>
            <w:vAlign w:val="top"/>
          </w:tcPr>
          <w:p>
            <w:pPr>
              <w:pStyle w:val="45"/>
              <w:bidi w:val="0"/>
              <w:rPr>
                <w:rFonts w:hint="default" w:ascii="Times New Roman" w:hAnsi="Times New Roman" w:cs="Times New Roman"/>
                <w:sz w:val="21"/>
                <w:szCs w:val="21"/>
              </w:rPr>
            </w:pPr>
          </w:p>
          <w:p>
            <w:pPr>
              <w:pStyle w:val="45"/>
              <w:bidi w:val="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0.292t/a</w:t>
            </w:r>
          </w:p>
        </w:tc>
        <w:tc>
          <w:tcPr>
            <w:tcW w:w="63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1.83</w:t>
            </w:r>
            <w:r>
              <w:rPr>
                <w:rFonts w:hint="default" w:ascii="Times New Roman" w:hAnsi="Times New Roman" w:cs="Times New Roman"/>
                <w:sz w:val="21"/>
                <w:szCs w:val="21"/>
              </w:rPr>
              <w:t>t/a</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+1.538</w:t>
            </w:r>
            <w:r>
              <w:rPr>
                <w:rFonts w:hint="default" w:ascii="Times New Roman" w:hAnsi="Times New Roman" w:cs="Times New Roman"/>
                <w:sz w:val="21"/>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jc w:val="center"/>
        </w:trPr>
        <w:tc>
          <w:tcPr>
            <w:tcW w:w="212" w:type="pct"/>
            <w:vMerge w:val="continue"/>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220" w:type="pct"/>
            <w:vMerge w:val="restart"/>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无组织</w:t>
            </w:r>
          </w:p>
        </w:tc>
        <w:tc>
          <w:tcPr>
            <w:tcW w:w="471" w:type="pct"/>
            <w:noWrap w:val="0"/>
            <w:vAlign w:val="top"/>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挥发性有机物</w:t>
            </w:r>
          </w:p>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（以非甲烷总烃计）</w:t>
            </w:r>
          </w:p>
        </w:tc>
        <w:tc>
          <w:tcPr>
            <w:tcW w:w="575" w:type="pct"/>
            <w:noWrap w:val="0"/>
            <w:vAlign w:val="center"/>
          </w:tcPr>
          <w:p>
            <w:pPr>
              <w:pStyle w:val="45"/>
              <w:bidi w:val="0"/>
              <w:jc w:val="center"/>
              <w:rPr>
                <w:rFonts w:hint="default" w:ascii="Times New Roman" w:hAnsi="Times New Roman" w:cs="Times New Roman"/>
                <w:sz w:val="21"/>
                <w:szCs w:val="21"/>
              </w:rPr>
            </w:pPr>
          </w:p>
          <w:p>
            <w:pPr>
              <w:pStyle w:val="45"/>
              <w:bidi w:val="0"/>
              <w:jc w:val="center"/>
              <w:rPr>
                <w:rFonts w:hint="default" w:ascii="Times New Roman" w:hAnsi="Times New Roman" w:cs="Times New Roman"/>
                <w:sz w:val="21"/>
                <w:szCs w:val="21"/>
              </w:rPr>
            </w:pPr>
            <w:r>
              <w:rPr>
                <w:rFonts w:hint="default" w:ascii="Times New Roman" w:hAnsi="Times New Roman" w:cs="Times New Roman"/>
                <w:sz w:val="21"/>
                <w:szCs w:val="21"/>
              </w:rPr>
              <w:t>1.1664t/a</w:t>
            </w:r>
          </w:p>
        </w:tc>
        <w:tc>
          <w:tcPr>
            <w:tcW w:w="1418" w:type="dxa"/>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738" w:type="dxa"/>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0.0508</w:t>
            </w:r>
            <w:r>
              <w:rPr>
                <w:rFonts w:hint="default" w:ascii="Times New Roman" w:hAnsi="Times New Roman" w:cs="Times New Roman"/>
                <w:sz w:val="21"/>
                <w:szCs w:val="21"/>
              </w:rPr>
              <w:t>t/a</w:t>
            </w:r>
          </w:p>
        </w:tc>
        <w:tc>
          <w:tcPr>
            <w:tcW w:w="629" w:type="pct"/>
            <w:noWrap w:val="0"/>
            <w:vAlign w:val="top"/>
          </w:tcPr>
          <w:p>
            <w:pPr>
              <w:pStyle w:val="45"/>
              <w:bidi w:val="0"/>
              <w:rPr>
                <w:rFonts w:hint="default" w:ascii="Times New Roman" w:hAnsi="Times New Roman" w:cs="Times New Roman"/>
                <w:sz w:val="21"/>
                <w:szCs w:val="21"/>
              </w:rPr>
            </w:pPr>
          </w:p>
          <w:p>
            <w:pPr>
              <w:pStyle w:val="45"/>
              <w:bidi w:val="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1.1664t/a</w:t>
            </w:r>
          </w:p>
        </w:tc>
        <w:tc>
          <w:tcPr>
            <w:tcW w:w="63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0.025</w:t>
            </w:r>
            <w:r>
              <w:rPr>
                <w:rFonts w:hint="default" w:ascii="Times New Roman" w:hAnsi="Times New Roman" w:cs="Times New Roman"/>
                <w:sz w:val="21"/>
                <w:szCs w:val="21"/>
              </w:rPr>
              <w:t>t/a</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-1.1156</w:t>
            </w:r>
            <w:r>
              <w:rPr>
                <w:rFonts w:hint="default" w:ascii="Times New Roman" w:hAnsi="Times New Roman" w:cs="Times New Roman"/>
                <w:sz w:val="21"/>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jc w:val="center"/>
        </w:trPr>
        <w:tc>
          <w:tcPr>
            <w:tcW w:w="212" w:type="pct"/>
            <w:vMerge w:val="continue"/>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220" w:type="pct"/>
            <w:vMerge w:val="continue"/>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471" w:type="pct"/>
            <w:noWrap w:val="0"/>
            <w:vAlign w:val="top"/>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甲苯</w:t>
            </w:r>
          </w:p>
        </w:tc>
        <w:tc>
          <w:tcPr>
            <w:tcW w:w="575" w:type="pct"/>
            <w:noWrap w:val="0"/>
            <w:vAlign w:val="center"/>
          </w:tcPr>
          <w:p>
            <w:pPr>
              <w:pStyle w:val="45"/>
              <w:bidi w:val="0"/>
              <w:jc w:val="center"/>
              <w:rPr>
                <w:rFonts w:hint="default" w:ascii="Times New Roman" w:hAnsi="Times New Roman" w:cs="Times New Roman"/>
                <w:sz w:val="21"/>
                <w:szCs w:val="21"/>
              </w:rPr>
            </w:pPr>
            <w:r>
              <w:rPr>
                <w:rFonts w:hint="default" w:ascii="Times New Roman" w:hAnsi="Times New Roman" w:cs="Times New Roman"/>
                <w:sz w:val="21"/>
                <w:szCs w:val="21"/>
              </w:rPr>
              <w:t>0.056t/a</w:t>
            </w:r>
          </w:p>
        </w:tc>
        <w:tc>
          <w:tcPr>
            <w:tcW w:w="1418" w:type="dxa"/>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738" w:type="dxa"/>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0.025</w:t>
            </w:r>
            <w:r>
              <w:rPr>
                <w:rFonts w:hint="default" w:ascii="Times New Roman" w:hAnsi="Times New Roman" w:cs="Times New Roman"/>
                <w:sz w:val="21"/>
                <w:szCs w:val="21"/>
              </w:rPr>
              <w:t>t/a</w:t>
            </w:r>
          </w:p>
        </w:tc>
        <w:tc>
          <w:tcPr>
            <w:tcW w:w="629" w:type="pct"/>
            <w:noWrap w:val="0"/>
            <w:vAlign w:val="top"/>
          </w:tcPr>
          <w:p>
            <w:pPr>
              <w:pStyle w:val="45"/>
              <w:bidi w:val="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0.056t/a</w:t>
            </w:r>
          </w:p>
        </w:tc>
        <w:tc>
          <w:tcPr>
            <w:tcW w:w="63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0.025</w:t>
            </w:r>
            <w:r>
              <w:rPr>
                <w:rFonts w:hint="default" w:ascii="Times New Roman" w:hAnsi="Times New Roman" w:cs="Times New Roman"/>
                <w:sz w:val="21"/>
                <w:szCs w:val="21"/>
              </w:rPr>
              <w:t>t/a</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-0.031</w:t>
            </w:r>
            <w:r>
              <w:rPr>
                <w:rFonts w:hint="default" w:ascii="Times New Roman" w:hAnsi="Times New Roman" w:cs="Times New Roman"/>
                <w:sz w:val="21"/>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jc w:val="center"/>
        </w:trPr>
        <w:tc>
          <w:tcPr>
            <w:tcW w:w="212" w:type="pct"/>
            <w:vMerge w:val="continue"/>
            <w:tcBorders>
              <w:left w:val="single" w:color="000000" w:sz="10" w:space="0"/>
              <w:bottom w:val="nil"/>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220" w:type="pct"/>
            <w:vMerge w:val="continue"/>
            <w:tcBorders>
              <w:left w:val="single" w:color="000000" w:sz="10" w:space="0"/>
              <w:bottom w:val="nil"/>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471" w:type="pct"/>
            <w:noWrap w:val="0"/>
            <w:vAlign w:val="top"/>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二甲苯</w:t>
            </w:r>
          </w:p>
        </w:tc>
        <w:tc>
          <w:tcPr>
            <w:tcW w:w="575" w:type="pct"/>
            <w:noWrap w:val="0"/>
            <w:vAlign w:val="top"/>
          </w:tcPr>
          <w:p>
            <w:pPr>
              <w:pStyle w:val="45"/>
              <w:bidi w:val="0"/>
              <w:rPr>
                <w:rFonts w:hint="default" w:ascii="Times New Roman" w:hAnsi="Times New Roman" w:cs="Times New Roman"/>
                <w:sz w:val="21"/>
                <w:szCs w:val="21"/>
              </w:rPr>
            </w:pPr>
            <w:r>
              <w:rPr>
                <w:rFonts w:hint="default" w:ascii="Times New Roman" w:hAnsi="Times New Roman" w:cs="Times New Roman"/>
                <w:sz w:val="21"/>
                <w:szCs w:val="21"/>
              </w:rPr>
              <w:t>0.056t/a</w:t>
            </w:r>
          </w:p>
        </w:tc>
        <w:tc>
          <w:tcPr>
            <w:tcW w:w="1418" w:type="dxa"/>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738" w:type="dxa"/>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0.025</w:t>
            </w:r>
            <w:r>
              <w:rPr>
                <w:rFonts w:hint="default" w:ascii="Times New Roman" w:hAnsi="Times New Roman" w:cs="Times New Roman"/>
                <w:sz w:val="21"/>
                <w:szCs w:val="21"/>
              </w:rPr>
              <w:t>t/a</w:t>
            </w:r>
          </w:p>
        </w:tc>
        <w:tc>
          <w:tcPr>
            <w:tcW w:w="629" w:type="pct"/>
            <w:noWrap w:val="0"/>
            <w:vAlign w:val="top"/>
          </w:tcPr>
          <w:p>
            <w:pPr>
              <w:pStyle w:val="45"/>
              <w:bidi w:val="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0.056t/at/a</w:t>
            </w:r>
          </w:p>
        </w:tc>
        <w:tc>
          <w:tcPr>
            <w:tcW w:w="63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0.0508</w:t>
            </w:r>
            <w:r>
              <w:rPr>
                <w:rFonts w:hint="default" w:ascii="Times New Roman" w:hAnsi="Times New Roman" w:cs="Times New Roman"/>
                <w:sz w:val="21"/>
                <w:szCs w:val="21"/>
              </w:rPr>
              <w:t>t/a</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-0.031</w:t>
            </w:r>
            <w:r>
              <w:rPr>
                <w:rFonts w:hint="default" w:ascii="Times New Roman" w:hAnsi="Times New Roman" w:cs="Times New Roman"/>
                <w:sz w:val="21"/>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jc w:val="center"/>
        </w:trPr>
        <w:tc>
          <w:tcPr>
            <w:tcW w:w="432" w:type="pct"/>
            <w:gridSpan w:val="2"/>
            <w:vMerge w:val="restart"/>
            <w:tcBorders>
              <w:left w:val="single" w:color="000000" w:sz="10" w:space="0"/>
              <w:bottom w:val="nil"/>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废水量</w:t>
            </w:r>
          </w:p>
        </w:tc>
        <w:tc>
          <w:tcPr>
            <w:tcW w:w="575"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418" w:type="dxa"/>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738" w:type="dxa"/>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w:t>
            </w:r>
          </w:p>
        </w:tc>
        <w:tc>
          <w:tcPr>
            <w:tcW w:w="629"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900" w:type="dxa"/>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jc w:val="center"/>
        </w:trPr>
        <w:tc>
          <w:tcPr>
            <w:tcW w:w="432" w:type="pct"/>
            <w:gridSpan w:val="2"/>
            <w:vMerge w:val="continue"/>
            <w:tcBorders>
              <w:top w:val="nil"/>
              <w:left w:val="single" w:color="000000" w:sz="10" w:space="0"/>
              <w:bottom w:val="nil"/>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CODCr</w:t>
            </w:r>
          </w:p>
        </w:tc>
        <w:tc>
          <w:tcPr>
            <w:tcW w:w="575"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7"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629"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900" w:type="dxa"/>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jc w:val="center"/>
        </w:trPr>
        <w:tc>
          <w:tcPr>
            <w:tcW w:w="432" w:type="pct"/>
            <w:gridSpan w:val="2"/>
            <w:vMerge w:val="continue"/>
            <w:tcBorders>
              <w:top w:val="nil"/>
              <w:left w:val="single" w:color="000000" w:sz="10" w:space="0"/>
              <w:bottom w:val="nil"/>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氨氮</w:t>
            </w:r>
          </w:p>
        </w:tc>
        <w:tc>
          <w:tcPr>
            <w:tcW w:w="575"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7"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629"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900" w:type="dxa"/>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432" w:type="pct"/>
            <w:gridSpan w:val="2"/>
            <w:vMerge w:val="continue"/>
            <w:tcBorders>
              <w:top w:val="nil"/>
              <w:left w:val="single" w:color="000000" w:sz="10" w:space="0"/>
              <w:bottom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471" w:type="pct"/>
            <w:tcBorders>
              <w:bottom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总磷</w:t>
            </w:r>
          </w:p>
        </w:tc>
        <w:tc>
          <w:tcPr>
            <w:tcW w:w="575" w:type="pct"/>
            <w:tcBorders>
              <w:bottom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471" w:type="pct"/>
            <w:tcBorders>
              <w:bottom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7" w:type="pct"/>
            <w:tcBorders>
              <w:bottom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tcBorders>
              <w:bottom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629" w:type="pct"/>
            <w:tcBorders>
              <w:bottom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900" w:type="dxa"/>
            <w:tcBorders>
              <w:bottom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633" w:type="pct"/>
            <w:tcBorders>
              <w:bottom w:val="single" w:color="000000" w:sz="10" w:space="0"/>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432" w:type="pct"/>
            <w:gridSpan w:val="2"/>
            <w:vMerge w:val="restart"/>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一般工业固体废物</w:t>
            </w:r>
          </w:p>
        </w:tc>
        <w:tc>
          <w:tcPr>
            <w:tcW w:w="471"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化粪池污泥</w:t>
            </w:r>
          </w:p>
        </w:tc>
        <w:tc>
          <w:tcPr>
            <w:tcW w:w="575"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1.2t/a</w:t>
            </w: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7"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1.2t/a</w:t>
            </w:r>
          </w:p>
        </w:tc>
        <w:tc>
          <w:tcPr>
            <w:tcW w:w="629" w:type="pct"/>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1.2t/a</w:t>
            </w:r>
          </w:p>
        </w:tc>
        <w:tc>
          <w:tcPr>
            <w:tcW w:w="631" w:type="pct"/>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1.2t/a</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432" w:type="pct"/>
            <w:gridSpan w:val="2"/>
            <w:vMerge w:val="continue"/>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471" w:type="pct"/>
            <w:noWrap w:val="0"/>
            <w:vAlign w:val="center"/>
          </w:tcPr>
          <w:p>
            <w:pPr>
              <w:pStyle w:val="45"/>
              <w:bidi w:val="0"/>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油水分离器</w:t>
            </w:r>
            <w:r>
              <w:rPr>
                <w:rFonts w:hint="default" w:ascii="Times New Roman" w:hAnsi="Times New Roman" w:cs="Times New Roman"/>
                <w:sz w:val="21"/>
                <w:szCs w:val="21"/>
              </w:rPr>
              <w:t>油污</w:t>
            </w:r>
          </w:p>
        </w:tc>
        <w:tc>
          <w:tcPr>
            <w:tcW w:w="575"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t/a</w:t>
            </w: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7"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t/a</w:t>
            </w:r>
          </w:p>
        </w:tc>
        <w:tc>
          <w:tcPr>
            <w:tcW w:w="629" w:type="pct"/>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t/a</w:t>
            </w:r>
          </w:p>
        </w:tc>
        <w:tc>
          <w:tcPr>
            <w:tcW w:w="631" w:type="pct"/>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t/a</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432" w:type="pct"/>
            <w:gridSpan w:val="2"/>
            <w:vMerge w:val="continue"/>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471"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餐饮垃圾</w:t>
            </w:r>
          </w:p>
        </w:tc>
        <w:tc>
          <w:tcPr>
            <w:tcW w:w="575"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4.5t/a</w:t>
            </w: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7"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4.5t/a</w:t>
            </w:r>
          </w:p>
        </w:tc>
        <w:tc>
          <w:tcPr>
            <w:tcW w:w="629" w:type="pct"/>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4.5t/a</w:t>
            </w:r>
          </w:p>
        </w:tc>
        <w:tc>
          <w:tcPr>
            <w:tcW w:w="631" w:type="pct"/>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4.5t/a</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32" w:type="pct"/>
            <w:gridSpan w:val="2"/>
            <w:vMerge w:val="continue"/>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471"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生活垃圾</w:t>
            </w:r>
          </w:p>
        </w:tc>
        <w:tc>
          <w:tcPr>
            <w:tcW w:w="575"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4.5t/a</w:t>
            </w: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7"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4.5t/a</w:t>
            </w:r>
          </w:p>
        </w:tc>
        <w:tc>
          <w:tcPr>
            <w:tcW w:w="629" w:type="pct"/>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4.5t/a</w:t>
            </w:r>
          </w:p>
        </w:tc>
        <w:tc>
          <w:tcPr>
            <w:tcW w:w="631" w:type="pct"/>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4.5t/a</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jc w:val="center"/>
        </w:trPr>
        <w:tc>
          <w:tcPr>
            <w:tcW w:w="432" w:type="pct"/>
            <w:gridSpan w:val="2"/>
            <w:vMerge w:val="continue"/>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471"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废包装固废</w:t>
            </w:r>
          </w:p>
        </w:tc>
        <w:tc>
          <w:tcPr>
            <w:tcW w:w="575"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1t/a</w:t>
            </w: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7"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1t/a</w:t>
            </w:r>
          </w:p>
        </w:tc>
        <w:tc>
          <w:tcPr>
            <w:tcW w:w="629" w:type="pct"/>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1t/a</w:t>
            </w:r>
          </w:p>
        </w:tc>
        <w:tc>
          <w:tcPr>
            <w:tcW w:w="631" w:type="pct"/>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1t/a</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jc w:val="center"/>
        </w:trPr>
        <w:tc>
          <w:tcPr>
            <w:tcW w:w="432" w:type="pct"/>
            <w:gridSpan w:val="2"/>
            <w:vMerge w:val="continue"/>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471"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废玻璃边角料</w:t>
            </w:r>
          </w:p>
        </w:tc>
        <w:tc>
          <w:tcPr>
            <w:tcW w:w="575"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1t/a</w:t>
            </w: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7"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1t/a</w:t>
            </w:r>
          </w:p>
        </w:tc>
        <w:tc>
          <w:tcPr>
            <w:tcW w:w="629" w:type="pct"/>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1t/a</w:t>
            </w:r>
          </w:p>
        </w:tc>
        <w:tc>
          <w:tcPr>
            <w:tcW w:w="631" w:type="pct"/>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1t/a</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jc w:val="center"/>
        </w:trPr>
        <w:tc>
          <w:tcPr>
            <w:tcW w:w="432" w:type="pct"/>
            <w:gridSpan w:val="2"/>
            <w:vMerge w:val="continue"/>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471"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玻璃次品</w:t>
            </w:r>
          </w:p>
        </w:tc>
        <w:tc>
          <w:tcPr>
            <w:tcW w:w="575"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30t/a</w:t>
            </w: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577"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576"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30t/a</w:t>
            </w:r>
          </w:p>
        </w:tc>
        <w:tc>
          <w:tcPr>
            <w:tcW w:w="629" w:type="pct"/>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30t/a</w:t>
            </w:r>
          </w:p>
        </w:tc>
        <w:tc>
          <w:tcPr>
            <w:tcW w:w="631" w:type="pct"/>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30t/a</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432" w:type="pct"/>
            <w:gridSpan w:val="2"/>
            <w:vMerge w:val="restart"/>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危险废物</w:t>
            </w:r>
          </w:p>
        </w:tc>
        <w:tc>
          <w:tcPr>
            <w:tcW w:w="471"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废润滑油</w:t>
            </w:r>
            <w:r>
              <w:rPr>
                <w:rFonts w:hint="default" w:ascii="Times New Roman" w:hAnsi="Times New Roman" w:cs="Times New Roman"/>
                <w:sz w:val="21"/>
                <w:szCs w:val="21"/>
                <w:lang w:eastAsia="zh-CN"/>
              </w:rPr>
              <w:t>、</w:t>
            </w:r>
            <w:r>
              <w:rPr>
                <w:rFonts w:hint="default" w:ascii="Times New Roman" w:hAnsi="Times New Roman" w:cs="Times New Roman"/>
                <w:sz w:val="21"/>
                <w:szCs w:val="21"/>
              </w:rPr>
              <w:t>废润滑油桶</w:t>
            </w:r>
          </w:p>
        </w:tc>
        <w:tc>
          <w:tcPr>
            <w:tcW w:w="575"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0.5t/a</w:t>
            </w: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7"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0.5t/a</w:t>
            </w:r>
          </w:p>
        </w:tc>
        <w:tc>
          <w:tcPr>
            <w:tcW w:w="629" w:type="pct"/>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0.5t/a</w:t>
            </w:r>
          </w:p>
        </w:tc>
        <w:tc>
          <w:tcPr>
            <w:tcW w:w="631" w:type="pct"/>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0.5t/a</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432" w:type="pct"/>
            <w:gridSpan w:val="2"/>
            <w:vMerge w:val="continue"/>
            <w:tcBorders>
              <w:lef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471"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废活性炭</w:t>
            </w:r>
          </w:p>
        </w:tc>
        <w:tc>
          <w:tcPr>
            <w:tcW w:w="575" w:type="pct"/>
            <w:noWrap w:val="0"/>
            <w:vAlign w:val="center"/>
          </w:tcPr>
          <w:p>
            <w:pPr>
              <w:pStyle w:val="45"/>
              <w:bidi w:val="0"/>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0.13</w:t>
            </w:r>
            <w:r>
              <w:rPr>
                <w:rFonts w:hint="default" w:ascii="Times New Roman" w:hAnsi="Times New Roman" w:cs="Times New Roman"/>
                <w:sz w:val="21"/>
                <w:szCs w:val="21"/>
              </w:rPr>
              <w:t>t/a</w:t>
            </w:r>
          </w:p>
        </w:tc>
        <w:tc>
          <w:tcPr>
            <w:tcW w:w="471"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7" w:type="pct"/>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6" w:type="pct"/>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12.555</w:t>
            </w:r>
            <w:r>
              <w:rPr>
                <w:rFonts w:hint="default" w:ascii="Times New Roman" w:hAnsi="Times New Roman" w:cs="Times New Roman"/>
                <w:sz w:val="21"/>
                <w:szCs w:val="21"/>
              </w:rPr>
              <w:t>t/a</w:t>
            </w:r>
          </w:p>
        </w:tc>
        <w:tc>
          <w:tcPr>
            <w:tcW w:w="629" w:type="pct"/>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0.13</w:t>
            </w:r>
            <w:r>
              <w:rPr>
                <w:rFonts w:hint="default" w:ascii="Times New Roman" w:hAnsi="Times New Roman" w:cs="Times New Roman"/>
                <w:sz w:val="21"/>
                <w:szCs w:val="21"/>
              </w:rPr>
              <w:t>t/a</w:t>
            </w:r>
          </w:p>
        </w:tc>
        <w:tc>
          <w:tcPr>
            <w:tcW w:w="631" w:type="pct"/>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12.555</w:t>
            </w:r>
            <w:r>
              <w:rPr>
                <w:rFonts w:hint="default" w:ascii="Times New Roman" w:hAnsi="Times New Roman" w:cs="Times New Roman"/>
                <w:sz w:val="21"/>
                <w:szCs w:val="21"/>
              </w:rPr>
              <w:t>t/a</w:t>
            </w:r>
          </w:p>
        </w:tc>
        <w:tc>
          <w:tcPr>
            <w:tcW w:w="633" w:type="pct"/>
            <w:tcBorders>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+12.425</w:t>
            </w:r>
            <w:r>
              <w:rPr>
                <w:rFonts w:hint="default" w:ascii="Times New Roman" w:hAnsi="Times New Roman" w:cs="Times New Roman"/>
                <w:sz w:val="21"/>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432" w:type="pct"/>
            <w:gridSpan w:val="2"/>
            <w:vMerge w:val="continue"/>
            <w:tcBorders>
              <w:left w:val="single" w:color="000000" w:sz="10" w:space="0"/>
              <w:bottom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471" w:type="pct"/>
            <w:tcBorders>
              <w:bottom w:val="single" w:color="000000" w:sz="10" w:space="0"/>
            </w:tcBorders>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废胶桶</w:t>
            </w:r>
          </w:p>
        </w:tc>
        <w:tc>
          <w:tcPr>
            <w:tcW w:w="575" w:type="pct"/>
            <w:tcBorders>
              <w:bottom w:val="single" w:color="000000" w:sz="10" w:space="0"/>
            </w:tcBorders>
            <w:noWrap w:val="0"/>
            <w:vAlign w:val="center"/>
          </w:tcPr>
          <w:p>
            <w:pPr>
              <w:pStyle w:val="45"/>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0.8</w:t>
            </w:r>
            <w:r>
              <w:rPr>
                <w:rFonts w:hint="default" w:ascii="Times New Roman" w:hAnsi="Times New Roman" w:cs="Times New Roman"/>
                <w:sz w:val="21"/>
                <w:szCs w:val="21"/>
              </w:rPr>
              <w:t>t/a</w:t>
            </w:r>
          </w:p>
        </w:tc>
        <w:tc>
          <w:tcPr>
            <w:tcW w:w="471" w:type="pct"/>
            <w:tcBorders>
              <w:bottom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577" w:type="pct"/>
            <w:tcBorders>
              <w:bottom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rPr>
            </w:pPr>
          </w:p>
        </w:tc>
        <w:tc>
          <w:tcPr>
            <w:tcW w:w="576" w:type="pct"/>
            <w:tcBorders>
              <w:bottom w:val="single" w:color="000000" w:sz="10" w:space="0"/>
            </w:tcBorders>
            <w:noWrap w:val="0"/>
            <w:vAlign w:val="center"/>
          </w:tcPr>
          <w:p>
            <w:pPr>
              <w:pStyle w:val="45"/>
              <w:bidi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3.75</w:t>
            </w:r>
            <w:r>
              <w:rPr>
                <w:rFonts w:hint="default" w:ascii="Times New Roman" w:hAnsi="Times New Roman" w:cs="Times New Roman"/>
                <w:sz w:val="21"/>
                <w:szCs w:val="21"/>
              </w:rPr>
              <w:t>t/a</w:t>
            </w:r>
          </w:p>
        </w:tc>
        <w:tc>
          <w:tcPr>
            <w:tcW w:w="629" w:type="pct"/>
            <w:tcBorders>
              <w:bottom w:val="single" w:color="000000" w:sz="10" w:space="0"/>
            </w:tcBorders>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0.8</w:t>
            </w:r>
            <w:r>
              <w:rPr>
                <w:rFonts w:hint="default" w:ascii="Times New Roman" w:hAnsi="Times New Roman" w:cs="Times New Roman"/>
                <w:sz w:val="21"/>
                <w:szCs w:val="21"/>
              </w:rPr>
              <w:t>t/a</w:t>
            </w:r>
          </w:p>
        </w:tc>
        <w:tc>
          <w:tcPr>
            <w:tcW w:w="631" w:type="pct"/>
            <w:tcBorders>
              <w:bottom w:val="single" w:color="000000" w:sz="10" w:space="0"/>
            </w:tcBorders>
            <w:noWrap w:val="0"/>
            <w:vAlign w:val="center"/>
          </w:tcPr>
          <w:p>
            <w:pPr>
              <w:pStyle w:val="45"/>
              <w:bidi w:val="0"/>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3.75</w:t>
            </w:r>
            <w:r>
              <w:rPr>
                <w:rFonts w:hint="default" w:ascii="Times New Roman" w:hAnsi="Times New Roman" w:cs="Times New Roman"/>
                <w:sz w:val="21"/>
                <w:szCs w:val="21"/>
              </w:rPr>
              <w:t>t/a</w:t>
            </w:r>
          </w:p>
        </w:tc>
        <w:tc>
          <w:tcPr>
            <w:tcW w:w="633" w:type="pct"/>
            <w:tcBorders>
              <w:bottom w:val="single" w:color="000000" w:sz="10" w:space="0"/>
              <w:right w:val="single" w:color="000000" w:sz="10" w:space="0"/>
            </w:tcBorders>
            <w:noWrap w:val="0"/>
            <w:vAlign w:val="center"/>
          </w:tcPr>
          <w:p>
            <w:pPr>
              <w:pStyle w:val="38"/>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+2.95</w:t>
            </w:r>
            <w:r>
              <w:rPr>
                <w:rFonts w:hint="default" w:ascii="Times New Roman" w:hAnsi="Times New Roman" w:cs="Times New Roman"/>
                <w:sz w:val="21"/>
                <w:szCs w:val="21"/>
              </w:rPr>
              <w:t>t/a</w:t>
            </w:r>
          </w:p>
        </w:tc>
      </w:tr>
    </w:tbl>
    <w:p>
      <w:pPr>
        <w:pStyle w:val="38"/>
        <w:tabs>
          <w:tab w:val="left" w:pos="5530"/>
        </w:tabs>
        <w:spacing w:before="249" w:beforeLines="80" w:after="24"/>
        <w:jc w:val="left"/>
        <w:rPr>
          <w:rFonts w:hint="default" w:ascii="Times New Roman" w:hAnsi="Times New Roman" w:cs="Times New Roman"/>
          <w:snapToGrid w:val="0"/>
          <w:spacing w:val="-6"/>
          <w:kern w:val="21"/>
        </w:rPr>
      </w:pPr>
      <w:r>
        <w:rPr>
          <w:rFonts w:hint="default" w:ascii="Times New Roman" w:hAnsi="Times New Roman" w:cs="Times New Roman"/>
          <w:snapToGrid w:val="0"/>
          <w:kern w:val="21"/>
        </w:rPr>
        <w:t>注：</w:t>
      </w:r>
      <w:r>
        <w:rPr>
          <w:rFonts w:hint="default" w:ascii="Times New Roman" w:hAnsi="Times New Roman" w:cs="Times New Roman"/>
          <w:snapToGrid w:val="0"/>
          <w:spacing w:val="-16"/>
          <w:kern w:val="21"/>
        </w:rPr>
        <w:fldChar w:fldCharType="begin"/>
      </w:r>
      <w:r>
        <w:rPr>
          <w:rFonts w:hint="default" w:ascii="Times New Roman" w:hAnsi="Times New Roman" w:cs="Times New Roman"/>
          <w:snapToGrid w:val="0"/>
          <w:spacing w:val="-16"/>
          <w:kern w:val="21"/>
        </w:rPr>
        <w:instrText xml:space="preserve"> = 6 \* GB3 \* MERGEFORMAT </w:instrText>
      </w:r>
      <w:r>
        <w:rPr>
          <w:rFonts w:hint="default" w:ascii="Times New Roman" w:hAnsi="Times New Roman" w:cs="Times New Roman"/>
          <w:snapToGrid w:val="0"/>
          <w:spacing w:val="-16"/>
          <w:kern w:val="21"/>
        </w:rPr>
        <w:fldChar w:fldCharType="separate"/>
      </w:r>
      <w:r>
        <w:rPr>
          <w:rFonts w:hint="default" w:ascii="Times New Roman" w:hAnsi="Times New Roman" w:cs="Times New Roman"/>
        </w:rPr>
        <w:t>⑥</w:t>
      </w:r>
      <w:r>
        <w:rPr>
          <w:rFonts w:hint="default" w:ascii="Times New Roman" w:hAnsi="Times New Roman" w:cs="Times New Roman"/>
          <w:snapToGrid w:val="0"/>
          <w:spacing w:val="-16"/>
          <w:kern w:val="21"/>
        </w:rPr>
        <w:fldChar w:fldCharType="end"/>
      </w:r>
      <w:r>
        <w:rPr>
          <w:rFonts w:hint="default" w:ascii="Times New Roman" w:hAnsi="Times New Roman" w:cs="Times New Roman"/>
          <w:snapToGrid w:val="0"/>
          <w:spacing w:val="-16"/>
          <w:kern w:val="21"/>
        </w:rPr>
        <w:t>=</w:t>
      </w:r>
      <w:r>
        <w:rPr>
          <w:rFonts w:hint="default" w:ascii="Times New Roman" w:hAnsi="Times New Roman" w:cs="Times New Roman"/>
          <w:snapToGrid w:val="0"/>
          <w:spacing w:val="-6"/>
          <w:kern w:val="21"/>
        </w:rPr>
        <w:fldChar w:fldCharType="begin"/>
      </w:r>
      <w:r>
        <w:rPr>
          <w:rFonts w:hint="default" w:ascii="Times New Roman" w:hAnsi="Times New Roman" w:cs="Times New Roman"/>
          <w:snapToGrid w:val="0"/>
          <w:spacing w:val="-6"/>
          <w:kern w:val="21"/>
        </w:rPr>
        <w:instrText xml:space="preserve"> = 1 \* GB3 \* MERGEFORMAT </w:instrText>
      </w:r>
      <w:r>
        <w:rPr>
          <w:rFonts w:hint="default" w:ascii="Times New Roman" w:hAnsi="Times New Roman" w:cs="Times New Roman"/>
          <w:snapToGrid w:val="0"/>
          <w:spacing w:val="-6"/>
          <w:kern w:val="21"/>
        </w:rPr>
        <w:fldChar w:fldCharType="separate"/>
      </w:r>
      <w:r>
        <w:rPr>
          <w:rFonts w:hint="default" w:ascii="Times New Roman" w:hAnsi="Times New Roman" w:cs="Times New Roman"/>
        </w:rPr>
        <w:t>①</w:t>
      </w:r>
      <w:r>
        <w:rPr>
          <w:rFonts w:hint="default" w:ascii="Times New Roman" w:hAnsi="Times New Roman" w:cs="Times New Roman"/>
          <w:snapToGrid w:val="0"/>
          <w:spacing w:val="-6"/>
          <w:kern w:val="21"/>
        </w:rPr>
        <w:fldChar w:fldCharType="end"/>
      </w:r>
      <w:r>
        <w:rPr>
          <w:rFonts w:hint="default" w:ascii="Times New Roman" w:hAnsi="Times New Roman" w:cs="Times New Roman"/>
          <w:snapToGrid w:val="0"/>
          <w:spacing w:val="-6"/>
          <w:kern w:val="21"/>
        </w:rPr>
        <w:t>+</w:t>
      </w:r>
      <w:r>
        <w:rPr>
          <w:rFonts w:hint="default" w:ascii="Times New Roman" w:hAnsi="Times New Roman" w:cs="Times New Roman"/>
          <w:snapToGrid w:val="0"/>
          <w:spacing w:val="-6"/>
          <w:kern w:val="21"/>
        </w:rPr>
        <w:fldChar w:fldCharType="begin"/>
      </w:r>
      <w:r>
        <w:rPr>
          <w:rFonts w:hint="default" w:ascii="Times New Roman" w:hAnsi="Times New Roman" w:cs="Times New Roman"/>
          <w:snapToGrid w:val="0"/>
          <w:spacing w:val="-6"/>
          <w:kern w:val="21"/>
        </w:rPr>
        <w:instrText xml:space="preserve"> = 3 \* GB3 \* MERGEFORMAT </w:instrText>
      </w:r>
      <w:r>
        <w:rPr>
          <w:rFonts w:hint="default" w:ascii="Times New Roman" w:hAnsi="Times New Roman" w:cs="Times New Roman"/>
          <w:snapToGrid w:val="0"/>
          <w:spacing w:val="-6"/>
          <w:kern w:val="21"/>
        </w:rPr>
        <w:fldChar w:fldCharType="separate"/>
      </w:r>
      <w:r>
        <w:rPr>
          <w:rFonts w:hint="default" w:ascii="Times New Roman" w:hAnsi="Times New Roman" w:cs="Times New Roman"/>
        </w:rPr>
        <w:t>③</w:t>
      </w:r>
      <w:r>
        <w:rPr>
          <w:rFonts w:hint="default" w:ascii="Times New Roman" w:hAnsi="Times New Roman" w:cs="Times New Roman"/>
          <w:snapToGrid w:val="0"/>
          <w:spacing w:val="-6"/>
          <w:kern w:val="21"/>
        </w:rPr>
        <w:fldChar w:fldCharType="end"/>
      </w:r>
      <w:r>
        <w:rPr>
          <w:rFonts w:hint="default" w:ascii="Times New Roman" w:hAnsi="Times New Roman" w:cs="Times New Roman"/>
          <w:snapToGrid w:val="0"/>
          <w:spacing w:val="-6"/>
          <w:kern w:val="21"/>
        </w:rPr>
        <w:t>+</w:t>
      </w:r>
      <w:r>
        <w:rPr>
          <w:rFonts w:hint="default" w:ascii="Times New Roman" w:hAnsi="Times New Roman" w:cs="Times New Roman"/>
          <w:snapToGrid w:val="0"/>
          <w:spacing w:val="-6"/>
          <w:kern w:val="21"/>
        </w:rPr>
        <w:fldChar w:fldCharType="begin"/>
      </w:r>
      <w:r>
        <w:rPr>
          <w:rFonts w:hint="default" w:ascii="Times New Roman" w:hAnsi="Times New Roman" w:cs="Times New Roman"/>
          <w:snapToGrid w:val="0"/>
          <w:spacing w:val="-6"/>
          <w:kern w:val="21"/>
        </w:rPr>
        <w:instrText xml:space="preserve"> = 4 \* GB3 \* MERGEFORMAT </w:instrText>
      </w:r>
      <w:r>
        <w:rPr>
          <w:rFonts w:hint="default" w:ascii="Times New Roman" w:hAnsi="Times New Roman" w:cs="Times New Roman"/>
          <w:snapToGrid w:val="0"/>
          <w:spacing w:val="-6"/>
          <w:kern w:val="21"/>
        </w:rPr>
        <w:fldChar w:fldCharType="separate"/>
      </w:r>
      <w:r>
        <w:rPr>
          <w:rFonts w:hint="default" w:ascii="Times New Roman" w:hAnsi="Times New Roman" w:cs="Times New Roman"/>
        </w:rPr>
        <w:t>④</w:t>
      </w:r>
      <w:r>
        <w:rPr>
          <w:rFonts w:hint="default" w:ascii="Times New Roman" w:hAnsi="Times New Roman" w:cs="Times New Roman"/>
          <w:snapToGrid w:val="0"/>
          <w:spacing w:val="-6"/>
          <w:kern w:val="21"/>
        </w:rPr>
        <w:fldChar w:fldCharType="end"/>
      </w:r>
      <w:r>
        <w:rPr>
          <w:rFonts w:hint="default" w:ascii="Times New Roman" w:hAnsi="Times New Roman" w:cs="Times New Roman"/>
          <w:snapToGrid w:val="0"/>
          <w:spacing w:val="-6"/>
          <w:kern w:val="21"/>
        </w:rPr>
        <w:t>-</w:t>
      </w:r>
      <w:r>
        <w:rPr>
          <w:rFonts w:hint="default" w:ascii="Times New Roman" w:hAnsi="Times New Roman" w:cs="Times New Roman"/>
          <w:snapToGrid w:val="0"/>
          <w:spacing w:val="-16"/>
          <w:kern w:val="21"/>
        </w:rPr>
        <w:fldChar w:fldCharType="begin"/>
      </w:r>
      <w:r>
        <w:rPr>
          <w:rFonts w:hint="default" w:ascii="Times New Roman" w:hAnsi="Times New Roman" w:cs="Times New Roman"/>
          <w:snapToGrid w:val="0"/>
          <w:spacing w:val="-16"/>
          <w:kern w:val="21"/>
        </w:rPr>
        <w:instrText xml:space="preserve"> = 5 \* GB3 \* MERGEFORMAT </w:instrText>
      </w:r>
      <w:r>
        <w:rPr>
          <w:rFonts w:hint="default" w:ascii="Times New Roman" w:hAnsi="Times New Roman" w:cs="Times New Roman"/>
          <w:snapToGrid w:val="0"/>
          <w:spacing w:val="-16"/>
          <w:kern w:val="21"/>
        </w:rPr>
        <w:fldChar w:fldCharType="separate"/>
      </w:r>
      <w:r>
        <w:rPr>
          <w:rFonts w:hint="default" w:ascii="Times New Roman" w:hAnsi="Times New Roman" w:cs="Times New Roman"/>
        </w:rPr>
        <w:t>⑤</w:t>
      </w:r>
      <w:r>
        <w:rPr>
          <w:rFonts w:hint="default" w:ascii="Times New Roman" w:hAnsi="Times New Roman" w:cs="Times New Roman"/>
          <w:snapToGrid w:val="0"/>
          <w:spacing w:val="-16"/>
          <w:kern w:val="21"/>
        </w:rPr>
        <w:fldChar w:fldCharType="end"/>
      </w:r>
      <w:r>
        <w:rPr>
          <w:rFonts w:hint="default" w:ascii="Times New Roman" w:hAnsi="Times New Roman" w:cs="Times New Roman"/>
          <w:snapToGrid w:val="0"/>
          <w:spacing w:val="-16"/>
          <w:kern w:val="21"/>
        </w:rPr>
        <w:t>；</w:t>
      </w:r>
      <w:r>
        <w:rPr>
          <w:rFonts w:hint="default" w:ascii="Times New Roman" w:hAnsi="Times New Roman" w:cs="Times New Roman"/>
          <w:snapToGrid w:val="0"/>
          <w:spacing w:val="-6"/>
          <w:kern w:val="21"/>
        </w:rPr>
        <w:fldChar w:fldCharType="begin"/>
      </w:r>
      <w:r>
        <w:rPr>
          <w:rFonts w:hint="default" w:ascii="Times New Roman" w:hAnsi="Times New Roman" w:cs="Times New Roman"/>
          <w:snapToGrid w:val="0"/>
          <w:spacing w:val="-6"/>
          <w:kern w:val="21"/>
        </w:rPr>
        <w:instrText xml:space="preserve"> = 7 \* GB3 \* MERGEFORMAT </w:instrText>
      </w:r>
      <w:r>
        <w:rPr>
          <w:rFonts w:hint="default" w:ascii="Times New Roman" w:hAnsi="Times New Roman" w:cs="Times New Roman"/>
          <w:snapToGrid w:val="0"/>
          <w:spacing w:val="-6"/>
          <w:kern w:val="21"/>
        </w:rPr>
        <w:fldChar w:fldCharType="separate"/>
      </w:r>
      <w:r>
        <w:rPr>
          <w:rFonts w:hint="default" w:ascii="Times New Roman" w:hAnsi="Times New Roman" w:cs="Times New Roman"/>
        </w:rPr>
        <w:t>⑦</w:t>
      </w:r>
      <w:r>
        <w:rPr>
          <w:rFonts w:hint="default" w:ascii="Times New Roman" w:hAnsi="Times New Roman" w:cs="Times New Roman"/>
          <w:snapToGrid w:val="0"/>
          <w:spacing w:val="-6"/>
          <w:kern w:val="21"/>
        </w:rPr>
        <w:fldChar w:fldCharType="end"/>
      </w:r>
      <w:r>
        <w:rPr>
          <w:rFonts w:hint="default" w:ascii="Times New Roman" w:hAnsi="Times New Roman" w:cs="Times New Roman"/>
          <w:snapToGrid w:val="0"/>
          <w:spacing w:val="-6"/>
          <w:kern w:val="21"/>
        </w:rPr>
        <w:t>=</w:t>
      </w:r>
      <w:r>
        <w:rPr>
          <w:rFonts w:hint="default" w:ascii="Times New Roman" w:hAnsi="Times New Roman" w:cs="Times New Roman"/>
          <w:snapToGrid w:val="0"/>
          <w:spacing w:val="-16"/>
          <w:kern w:val="21"/>
        </w:rPr>
        <w:fldChar w:fldCharType="begin"/>
      </w:r>
      <w:r>
        <w:rPr>
          <w:rFonts w:hint="default" w:ascii="Times New Roman" w:hAnsi="Times New Roman" w:cs="Times New Roman"/>
          <w:snapToGrid w:val="0"/>
          <w:spacing w:val="-16"/>
          <w:kern w:val="21"/>
        </w:rPr>
        <w:instrText xml:space="preserve"> = 6 \* GB3 \* MERGEFORMAT </w:instrText>
      </w:r>
      <w:r>
        <w:rPr>
          <w:rFonts w:hint="default" w:ascii="Times New Roman" w:hAnsi="Times New Roman" w:cs="Times New Roman"/>
          <w:snapToGrid w:val="0"/>
          <w:spacing w:val="-16"/>
          <w:kern w:val="21"/>
        </w:rPr>
        <w:fldChar w:fldCharType="separate"/>
      </w:r>
      <w:r>
        <w:rPr>
          <w:rFonts w:hint="default" w:ascii="Times New Roman" w:hAnsi="Times New Roman" w:cs="Times New Roman"/>
        </w:rPr>
        <w:t>⑥</w:t>
      </w:r>
      <w:r>
        <w:rPr>
          <w:rFonts w:hint="default" w:ascii="Times New Roman" w:hAnsi="Times New Roman" w:cs="Times New Roman"/>
          <w:snapToGrid w:val="0"/>
          <w:spacing w:val="-16"/>
          <w:kern w:val="21"/>
        </w:rPr>
        <w:fldChar w:fldCharType="end"/>
      </w:r>
      <w:r>
        <w:rPr>
          <w:rFonts w:hint="default" w:ascii="Times New Roman" w:hAnsi="Times New Roman" w:cs="Times New Roman"/>
          <w:snapToGrid w:val="0"/>
          <w:spacing w:val="-16"/>
          <w:kern w:val="21"/>
        </w:rPr>
        <w:t>-</w:t>
      </w:r>
      <w:r>
        <w:rPr>
          <w:rFonts w:hint="default" w:ascii="Times New Roman" w:hAnsi="Times New Roman" w:cs="Times New Roman"/>
          <w:snapToGrid w:val="0"/>
          <w:spacing w:val="-6"/>
          <w:kern w:val="21"/>
        </w:rPr>
        <w:fldChar w:fldCharType="begin"/>
      </w:r>
      <w:r>
        <w:rPr>
          <w:rFonts w:hint="default" w:ascii="Times New Roman" w:hAnsi="Times New Roman" w:cs="Times New Roman"/>
          <w:snapToGrid w:val="0"/>
          <w:spacing w:val="-6"/>
          <w:kern w:val="21"/>
        </w:rPr>
        <w:instrText xml:space="preserve"> = 1 \* GB3 \* MERGEFORMAT </w:instrText>
      </w:r>
      <w:r>
        <w:rPr>
          <w:rFonts w:hint="default" w:ascii="Times New Roman" w:hAnsi="Times New Roman" w:cs="Times New Roman"/>
          <w:snapToGrid w:val="0"/>
          <w:spacing w:val="-6"/>
          <w:kern w:val="21"/>
        </w:rPr>
        <w:fldChar w:fldCharType="separate"/>
      </w:r>
      <w:r>
        <w:rPr>
          <w:rFonts w:hint="default" w:ascii="Times New Roman" w:hAnsi="Times New Roman" w:cs="Times New Roman"/>
        </w:rPr>
        <w:t>①</w:t>
      </w:r>
      <w:r>
        <w:rPr>
          <w:rFonts w:hint="default" w:ascii="Times New Roman" w:hAnsi="Times New Roman" w:cs="Times New Roman"/>
          <w:snapToGrid w:val="0"/>
          <w:spacing w:val="-6"/>
          <w:kern w:val="21"/>
        </w:rPr>
        <w:fldChar w:fldCharType="end"/>
      </w:r>
    </w:p>
    <w:p>
      <w:pPr>
        <w:pStyle w:val="38"/>
        <w:spacing w:before="192" w:beforeLines="80" w:after="24"/>
        <w:ind w:left="0" w:leftChars="0" w:firstLine="0" w:firstLineChars="0"/>
        <w:jc w:val="left"/>
        <w:outlineLvl w:val="0"/>
        <w:rPr>
          <w:rFonts w:hint="default" w:ascii="Times New Roman" w:hAnsi="Times New Roman" w:eastAsia="宋体" w:cs="Times New Roman"/>
          <w:color w:val="auto"/>
          <w:highlight w:val="yellow"/>
          <w:lang w:val="en-US" w:eastAsia="zh-CN"/>
        </w:rPr>
      </w:pPr>
    </w:p>
    <w:sectPr>
      <w:footerReference r:id="rId10" w:type="default"/>
      <w:pgSz w:w="16838" w:h="11906" w:orient="landscape"/>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 wne:kcmPrimary="0073">
      <wne:acd wne:acdName="acd1"/>
    </wne:keymap>
    <wne:keymap wne:kcmPrimary="0072">
      <wne:acd wne:acdName="acd2"/>
    </wne:keymap>
  </wne:keymaps>
  <wne:acds>
    <wne:acd wne:argValue="AgBoiDRZ" wne:acdName="acd0" wne:fciIndexBasedOn="0065"/>
    <wne:acd wne:argValue="AgBoiDxoh2VXWw==" wne:acdName="acd1" wne:fciIndexBasedOn="0065"/>
    <wne:acd wne:argValue="AQAAAAA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D90BF90-2D43-4BAD-8481-39D9C7941EB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A00DA4F6-E97D-4CB3-BC2D-A1F3EAD02862}"/>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embedRegular r:id="rId3" w:fontKey="{7AAF8C32-9DF2-4B97-B936-9755B7F9E86E}"/>
  </w:font>
  <w:font w:name="FangSong_GB2312">
    <w:altName w:val="仿宋_GB2312"/>
    <w:panose1 w:val="02010609030101010101"/>
    <w:charset w:val="86"/>
    <w:family w:val="modern"/>
    <w:pitch w:val="default"/>
    <w:sig w:usb0="00000000" w:usb1="0000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Arial Unicode MS">
    <w:altName w:val="宋体"/>
    <w:panose1 w:val="020B0604020202020204"/>
    <w:charset w:val="86"/>
    <w:family w:val="swiss"/>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embedRegular r:id="rId4" w:fontKey="{6BE1367F-9058-4ADA-B4EC-381CDC0AEB71}"/>
  </w:font>
  <w:font w:name="方正小标宋_GBK">
    <w:panose1 w:val="03000509000000000000"/>
    <w:charset w:val="86"/>
    <w:family w:val="script"/>
    <w:pitch w:val="default"/>
    <w:sig w:usb0="00000001" w:usb1="080E0000" w:usb2="00000000" w:usb3="00000000" w:csb0="00040000" w:csb1="00000000"/>
    <w:embedRegular r:id="rId5" w:fontKey="{0D94E8D6-3502-46AA-90EA-080BC2E73CEB}"/>
  </w:font>
  <w:font w:name="仿宋">
    <w:panose1 w:val="02010609060101010101"/>
    <w:charset w:val="86"/>
    <w:family w:val="auto"/>
    <w:pitch w:val="default"/>
    <w:sig w:usb0="800002BF" w:usb1="38CF7CFA" w:usb2="00000016" w:usb3="00000000" w:csb0="00040001" w:csb1="00000000"/>
    <w:embedRegular r:id="rId6" w:fontKey="{F763DCC3-4529-4554-A8F1-BBFC5DFCC9C9}"/>
  </w:font>
  <w:font w:name="Wingdings 2">
    <w:panose1 w:val="05020102010507070707"/>
    <w:charset w:val="02"/>
    <w:family w:val="auto"/>
    <w:pitch w:val="default"/>
    <w:sig w:usb0="00000000" w:usb1="00000000" w:usb2="00000000" w:usb3="00000000" w:csb0="80000000" w:csb1="00000000"/>
    <w:embedRegular r:id="rId7" w:fontKey="{025119A9-77E6-446A-BA9A-C66B91D46A5F}"/>
  </w:font>
  <w:font w:name="方正公文小标宋">
    <w:panose1 w:val="02000500000000000000"/>
    <w:charset w:val="86"/>
    <w:family w:val="auto"/>
    <w:pitch w:val="default"/>
    <w:sig w:usb0="A00002BF" w:usb1="38CF7CFA" w:usb2="00000016" w:usb3="00000000" w:csb0="00040001" w:csb1="00000000"/>
    <w:embedRegular r:id="rId8" w:fontKey="{EA0A8855-513C-4D52-A25F-EDD18220AA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1"/>
      </w:rPr>
    </w:pPr>
    <w:r>
      <w:fldChar w:fldCharType="begin"/>
    </w:r>
    <w:r>
      <w:rPr>
        <w:rStyle w:val="31"/>
      </w:rPr>
      <w:instrText xml:space="preserve">PAGE  </w:instrText>
    </w:r>
    <w:r>
      <w:fldChar w:fldCharType="end"/>
    </w:r>
  </w:p>
  <w:p>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1461"/>
        <w:tab w:val="center" w:pos="4482"/>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1461"/>
        <w:tab w:val="center" w:pos="4482"/>
      </w:tabs>
      <w:ind w:right="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655955" cy="384175"/>
              <wp:effectExtent l="0" t="0" r="0" b="0"/>
              <wp:wrapNone/>
              <wp:docPr id="3"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655955" cy="384175"/>
                      </a:xfrm>
                      <a:prstGeom prst="rect">
                        <a:avLst/>
                      </a:prstGeom>
                      <a:noFill/>
                      <a:ln>
                        <a:noFill/>
                      </a:ln>
                    </wps:spPr>
                    <wps:txbx>
                      <w:txbxContent>
                        <w:p>
                          <w:pPr>
                            <w:pStyle w:val="18"/>
                            <w:rPr>
                              <w:rStyle w:val="31"/>
                              <w:rFonts w:ascii="宋体" w:hAnsi="宋体"/>
                              <w:sz w:val="28"/>
                              <w:szCs w:val="28"/>
                            </w:rPr>
                          </w:pPr>
                          <w:r>
                            <w:rPr>
                              <w:rStyle w:val="31"/>
                              <w:rFonts w:hint="eastAsia" w:ascii="宋体" w:hAnsi="宋体"/>
                              <w:sz w:val="28"/>
                              <w:szCs w:val="28"/>
                            </w:rPr>
                            <w:t>—</w:t>
                          </w:r>
                          <w:r>
                            <w:rPr>
                              <w:sz w:val="26"/>
                              <w:szCs w:val="26"/>
                            </w:rPr>
                            <w:fldChar w:fldCharType="begin"/>
                          </w:r>
                          <w:r>
                            <w:rPr>
                              <w:rStyle w:val="31"/>
                              <w:sz w:val="26"/>
                              <w:szCs w:val="26"/>
                            </w:rPr>
                            <w:instrText xml:space="preserve">PAGE  </w:instrText>
                          </w:r>
                          <w:r>
                            <w:rPr>
                              <w:sz w:val="26"/>
                              <w:szCs w:val="26"/>
                            </w:rPr>
                            <w:fldChar w:fldCharType="separate"/>
                          </w:r>
                          <w:r>
                            <w:rPr>
                              <w:rStyle w:val="31"/>
                              <w:sz w:val="26"/>
                              <w:szCs w:val="26"/>
                            </w:rPr>
                            <w:t>i</w:t>
                          </w:r>
                          <w:r>
                            <w:rPr>
                              <w:sz w:val="26"/>
                              <w:szCs w:val="26"/>
                            </w:rPr>
                            <w:fldChar w:fldCharType="end"/>
                          </w:r>
                          <w:r>
                            <w:rPr>
                              <w:rStyle w:val="31"/>
                              <w:rFonts w:hint="eastAsia" w:ascii="宋体" w:hAnsi="宋体"/>
                              <w:sz w:val="28"/>
                              <w:szCs w:val="28"/>
                            </w:rPr>
                            <w:t>—</w:t>
                          </w:r>
                        </w:p>
                        <w:p/>
                      </w:txbxContent>
                    </wps:txbx>
                    <wps:bodyPr rot="0" vert="horz" wrap="none" lIns="0" tIns="0" rIns="0" bIns="0" anchor="t" anchorCtr="0" upright="1">
                      <a:spAutoFit/>
                    </wps:bodyPr>
                  </wps:wsp>
                </a:graphicData>
              </a:graphic>
            </wp:anchor>
          </w:drawing>
        </mc:Choice>
        <mc:Fallback>
          <w:pict>
            <v:shape id="文本框 1028" o:spid="_x0000_s1026" o:spt="202" type="#_x0000_t202" style="position:absolute;left:0pt;margin-top:0pt;height:30.25pt;width:51.65pt;mso-position-horizontal:outside;mso-position-horizontal-relative:margin;mso-wrap-style:none;z-index:251659264;mso-width-relative:page;mso-height-relative:page;" filled="f" stroked="f" coordsize="21600,21600" o:gfxdata="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VJZGdEAAAAEAQAADwAAAAAAAAABACAAAAAiAAAA&#10;ZHJzL2Rvd25yZXYueG1sUEsBAhQAFAAAAAgAh07iQBR05ysOAgAABQQAAA4AAAAAAAAAAQAgAAAA&#10;IAEAAGRycy9lMm9Eb2MueG1sUEsFBgAAAAAGAAYAWQEAAKAFAAAAAA==&#10;">
              <v:fill on="f" focussize="0,0"/>
              <v:stroke on="f"/>
              <v:imagedata o:title=""/>
              <o:lock v:ext="edit" aspectratio="f"/>
              <v:textbox inset="0mm,0mm,0mm,0mm" style="mso-fit-shape-to-text:t;">
                <w:txbxContent>
                  <w:p>
                    <w:pPr>
                      <w:pStyle w:val="18"/>
                      <w:rPr>
                        <w:rStyle w:val="31"/>
                        <w:rFonts w:ascii="宋体" w:hAnsi="宋体"/>
                        <w:sz w:val="28"/>
                        <w:szCs w:val="28"/>
                      </w:rPr>
                    </w:pPr>
                    <w:r>
                      <w:rPr>
                        <w:rStyle w:val="31"/>
                        <w:rFonts w:hint="eastAsia" w:ascii="宋体" w:hAnsi="宋体"/>
                        <w:sz w:val="28"/>
                        <w:szCs w:val="28"/>
                      </w:rPr>
                      <w:t>—</w:t>
                    </w:r>
                    <w:r>
                      <w:rPr>
                        <w:sz w:val="26"/>
                        <w:szCs w:val="26"/>
                      </w:rPr>
                      <w:fldChar w:fldCharType="begin"/>
                    </w:r>
                    <w:r>
                      <w:rPr>
                        <w:rStyle w:val="31"/>
                        <w:sz w:val="26"/>
                        <w:szCs w:val="26"/>
                      </w:rPr>
                      <w:instrText xml:space="preserve">PAGE  </w:instrText>
                    </w:r>
                    <w:r>
                      <w:rPr>
                        <w:sz w:val="26"/>
                        <w:szCs w:val="26"/>
                      </w:rPr>
                      <w:fldChar w:fldCharType="separate"/>
                    </w:r>
                    <w:r>
                      <w:rPr>
                        <w:rStyle w:val="31"/>
                        <w:sz w:val="26"/>
                        <w:szCs w:val="26"/>
                      </w:rPr>
                      <w:t>i</w:t>
                    </w:r>
                    <w:r>
                      <w:rPr>
                        <w:sz w:val="26"/>
                        <w:szCs w:val="26"/>
                      </w:rPr>
                      <w:fldChar w:fldCharType="end"/>
                    </w:r>
                    <w:r>
                      <w:rPr>
                        <w:rStyle w:val="31"/>
                        <w:rFonts w:hint="eastAsia" w:ascii="宋体" w:hAnsi="宋体"/>
                        <w:sz w:val="28"/>
                        <w:szCs w:val="28"/>
                      </w:rPr>
                      <w:t>—</w:t>
                    </w:r>
                  </w:p>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1461"/>
        <w:tab w:val="center" w:pos="4482"/>
      </w:tabs>
      <w:ind w:right="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775335" cy="384175"/>
              <wp:effectExtent l="0" t="0" r="0" b="0"/>
              <wp:wrapNone/>
              <wp:docPr id="2" name="文本框 1029"/>
              <wp:cNvGraphicFramePr/>
              <a:graphic xmlns:a="http://schemas.openxmlformats.org/drawingml/2006/main">
                <a:graphicData uri="http://schemas.microsoft.com/office/word/2010/wordprocessingShape">
                  <wps:wsp>
                    <wps:cNvSpPr txBox="1">
                      <a:spLocks noChangeArrowheads="1"/>
                    </wps:cNvSpPr>
                    <wps:spPr bwMode="auto">
                      <a:xfrm>
                        <a:off x="0" y="0"/>
                        <a:ext cx="775335" cy="384175"/>
                      </a:xfrm>
                      <a:prstGeom prst="rect">
                        <a:avLst/>
                      </a:prstGeom>
                      <a:noFill/>
                      <a:ln>
                        <a:noFill/>
                      </a:ln>
                    </wps:spPr>
                    <wps:txbx>
                      <w:txbxContent>
                        <w:p>
                          <w:pPr>
                            <w:pStyle w:val="18"/>
                            <w:rPr>
                              <w:rStyle w:val="31"/>
                              <w:rFonts w:ascii="宋体" w:hAnsi="宋体"/>
                              <w:sz w:val="28"/>
                              <w:szCs w:val="28"/>
                            </w:rPr>
                          </w:pPr>
                          <w:r>
                            <w:rPr>
                              <w:rStyle w:val="31"/>
                              <w:rFonts w:hint="eastAsia" w:ascii="宋体" w:hAnsi="宋体"/>
                              <w:sz w:val="28"/>
                              <w:szCs w:val="28"/>
                            </w:rPr>
                            <w:t>—</w:t>
                          </w:r>
                          <w:r>
                            <w:rPr>
                              <w:sz w:val="26"/>
                              <w:szCs w:val="26"/>
                            </w:rPr>
                            <w:fldChar w:fldCharType="begin"/>
                          </w:r>
                          <w:r>
                            <w:rPr>
                              <w:rStyle w:val="31"/>
                              <w:sz w:val="26"/>
                              <w:szCs w:val="26"/>
                            </w:rPr>
                            <w:instrText xml:space="preserve">PAGE  </w:instrText>
                          </w:r>
                          <w:r>
                            <w:rPr>
                              <w:sz w:val="26"/>
                              <w:szCs w:val="26"/>
                            </w:rPr>
                            <w:fldChar w:fldCharType="separate"/>
                          </w:r>
                          <w:r>
                            <w:rPr>
                              <w:rStyle w:val="31"/>
                              <w:sz w:val="26"/>
                              <w:szCs w:val="26"/>
                            </w:rPr>
                            <w:t>19</w:t>
                          </w:r>
                          <w:r>
                            <w:rPr>
                              <w:sz w:val="26"/>
                              <w:szCs w:val="26"/>
                            </w:rPr>
                            <w:fldChar w:fldCharType="end"/>
                          </w:r>
                          <w:r>
                            <w:rPr>
                              <w:rStyle w:val="31"/>
                              <w:rFonts w:hint="eastAsia" w:ascii="宋体" w:hAnsi="宋体"/>
                              <w:sz w:val="28"/>
                              <w:szCs w:val="28"/>
                            </w:rPr>
                            <w:t>—</w:t>
                          </w:r>
                        </w:p>
                        <w:p/>
                      </w:txbxContent>
                    </wps:txbx>
                    <wps:bodyPr rot="0" vert="horz" wrap="none" lIns="0" tIns="0" rIns="0" bIns="0" anchor="t" anchorCtr="0" upright="1">
                      <a:spAutoFit/>
                    </wps:bodyPr>
                  </wps:wsp>
                </a:graphicData>
              </a:graphic>
            </wp:anchor>
          </w:drawing>
        </mc:Choice>
        <mc:Fallback>
          <w:pict>
            <v:shape id="文本框 1029" o:spid="_x0000_s1026" o:spt="202" type="#_x0000_t202" style="position:absolute;left:0pt;margin-top:0pt;height:30.25pt;width:61.05pt;mso-position-horizontal:outside;mso-position-horizontal-relative:margin;mso-wrap-style:none;z-index:251660288;mso-width-relative:page;mso-height-relative:page;" filled="f" stroked="f" coordsize="21600,21600" o:gfxdata="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iv7A9EAAAAEAQAADwAAAAAAAAABACAAAAAiAAAA&#10;ZHJzL2Rvd25yZXYueG1sUEsBAhQAFAAAAAgAh07iQNtDX4sOAgAABQQAAA4AAAAAAAAAAQAgAAAA&#10;IAEAAGRycy9lMm9Eb2MueG1sUEsFBgAAAAAGAAYAWQEAAKAFAAAAAA==&#10;">
              <v:fill on="f" focussize="0,0"/>
              <v:stroke on="f"/>
              <v:imagedata o:title=""/>
              <o:lock v:ext="edit" aspectratio="f"/>
              <v:textbox inset="0mm,0mm,0mm,0mm" style="mso-fit-shape-to-text:t;">
                <w:txbxContent>
                  <w:p>
                    <w:pPr>
                      <w:pStyle w:val="18"/>
                      <w:rPr>
                        <w:rStyle w:val="31"/>
                        <w:rFonts w:ascii="宋体" w:hAnsi="宋体"/>
                        <w:sz w:val="28"/>
                        <w:szCs w:val="28"/>
                      </w:rPr>
                    </w:pPr>
                    <w:r>
                      <w:rPr>
                        <w:rStyle w:val="31"/>
                        <w:rFonts w:hint="eastAsia" w:ascii="宋体" w:hAnsi="宋体"/>
                        <w:sz w:val="28"/>
                        <w:szCs w:val="28"/>
                      </w:rPr>
                      <w:t>—</w:t>
                    </w:r>
                    <w:r>
                      <w:rPr>
                        <w:sz w:val="26"/>
                        <w:szCs w:val="26"/>
                      </w:rPr>
                      <w:fldChar w:fldCharType="begin"/>
                    </w:r>
                    <w:r>
                      <w:rPr>
                        <w:rStyle w:val="31"/>
                        <w:sz w:val="26"/>
                        <w:szCs w:val="26"/>
                      </w:rPr>
                      <w:instrText xml:space="preserve">PAGE  </w:instrText>
                    </w:r>
                    <w:r>
                      <w:rPr>
                        <w:sz w:val="26"/>
                        <w:szCs w:val="26"/>
                      </w:rPr>
                      <w:fldChar w:fldCharType="separate"/>
                    </w:r>
                    <w:r>
                      <w:rPr>
                        <w:rStyle w:val="31"/>
                        <w:sz w:val="26"/>
                        <w:szCs w:val="26"/>
                      </w:rPr>
                      <w:t>19</w:t>
                    </w:r>
                    <w:r>
                      <w:rPr>
                        <w:sz w:val="26"/>
                        <w:szCs w:val="26"/>
                      </w:rPr>
                      <w:fldChar w:fldCharType="end"/>
                    </w:r>
                    <w:r>
                      <w:rPr>
                        <w:rStyle w:val="31"/>
                        <w:rFonts w:hint="eastAsia" w:ascii="宋体" w:hAnsi="宋体"/>
                        <w:sz w:val="28"/>
                        <w:szCs w:val="28"/>
                      </w:rPr>
                      <w:t>—</w:t>
                    </w:r>
                  </w:p>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C92D09"/>
    <w:multiLevelType w:val="singleLevel"/>
    <w:tmpl w:val="8EC92D09"/>
    <w:lvl w:ilvl="0" w:tentative="0">
      <w:start w:val="1"/>
      <w:numFmt w:val="decimal"/>
      <w:suff w:val="nothing"/>
      <w:lvlText w:val="（%1）"/>
      <w:lvlJc w:val="left"/>
    </w:lvl>
  </w:abstractNum>
  <w:abstractNum w:abstractNumId="1">
    <w:nsid w:val="A0C43DC1"/>
    <w:multiLevelType w:val="singleLevel"/>
    <w:tmpl w:val="A0C43DC1"/>
    <w:lvl w:ilvl="0" w:tentative="0">
      <w:start w:val="1"/>
      <w:numFmt w:val="decimal"/>
      <w:suff w:val="nothing"/>
      <w:lvlText w:val="（%1）"/>
      <w:lvlJc w:val="left"/>
    </w:lvl>
  </w:abstractNum>
  <w:abstractNum w:abstractNumId="2">
    <w:nsid w:val="B362CF8D"/>
    <w:multiLevelType w:val="singleLevel"/>
    <w:tmpl w:val="B362CF8D"/>
    <w:lvl w:ilvl="0" w:tentative="0">
      <w:start w:val="3"/>
      <w:numFmt w:val="chineseCounting"/>
      <w:suff w:val="nothing"/>
      <w:lvlText w:val="（%1）"/>
      <w:lvlJc w:val="left"/>
      <w:rPr>
        <w:rFonts w:hint="eastAsia"/>
      </w:rPr>
    </w:lvl>
  </w:abstractNum>
  <w:abstractNum w:abstractNumId="3">
    <w:nsid w:val="CD94D05F"/>
    <w:multiLevelType w:val="singleLevel"/>
    <w:tmpl w:val="CD94D05F"/>
    <w:lvl w:ilvl="0" w:tentative="0">
      <w:start w:val="4"/>
      <w:numFmt w:val="decimal"/>
      <w:suff w:val="nothing"/>
      <w:lvlText w:val="%1、"/>
      <w:lvlJc w:val="left"/>
    </w:lvl>
  </w:abstractNum>
  <w:abstractNum w:abstractNumId="4">
    <w:nsid w:val="D139D166"/>
    <w:multiLevelType w:val="singleLevel"/>
    <w:tmpl w:val="D139D166"/>
    <w:lvl w:ilvl="0" w:tentative="0">
      <w:start w:val="4"/>
      <w:numFmt w:val="chineseCounting"/>
      <w:suff w:val="nothing"/>
      <w:lvlText w:val="%1、"/>
      <w:lvlJc w:val="left"/>
      <w:rPr>
        <w:rFonts w:hint="eastAsia"/>
      </w:rPr>
    </w:lvl>
  </w:abstractNum>
  <w:abstractNum w:abstractNumId="5">
    <w:nsid w:val="D32564AD"/>
    <w:multiLevelType w:val="singleLevel"/>
    <w:tmpl w:val="D32564AD"/>
    <w:lvl w:ilvl="0" w:tentative="0">
      <w:start w:val="2"/>
      <w:numFmt w:val="decimal"/>
      <w:suff w:val="nothing"/>
      <w:lvlText w:val="%1、"/>
      <w:lvlJc w:val="left"/>
    </w:lvl>
  </w:abstractNum>
  <w:abstractNum w:abstractNumId="6">
    <w:nsid w:val="3542E427"/>
    <w:multiLevelType w:val="singleLevel"/>
    <w:tmpl w:val="3542E427"/>
    <w:lvl w:ilvl="0" w:tentative="0">
      <w:start w:val="2"/>
      <w:numFmt w:val="chineseCounting"/>
      <w:suff w:val="nothing"/>
      <w:lvlText w:val="%1、"/>
      <w:lvlJc w:val="left"/>
      <w:rPr>
        <w:rFonts w:hint="eastAsia"/>
      </w:rPr>
    </w:lvl>
  </w:abstractNum>
  <w:abstractNum w:abstractNumId="7">
    <w:nsid w:val="548DF504"/>
    <w:multiLevelType w:val="singleLevel"/>
    <w:tmpl w:val="548DF504"/>
    <w:lvl w:ilvl="0" w:tentative="0">
      <w:start w:val="6"/>
      <w:numFmt w:val="chineseCounting"/>
      <w:suff w:val="nothing"/>
      <w:lvlText w:val="%1、"/>
      <w:lvlJc w:val="left"/>
      <w:rPr>
        <w:rFonts w:hint="eastAsia"/>
      </w:rPr>
    </w:lvl>
  </w:abstractNum>
  <w:abstractNum w:abstractNumId="8">
    <w:nsid w:val="573438ED"/>
    <w:multiLevelType w:val="multilevel"/>
    <w:tmpl w:val="573438ED"/>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lvlRestart w:val="2"/>
      <w:pStyle w:val="39"/>
      <w:suff w:val="space"/>
      <w:lvlText w:val="表%1.%2-%4    "/>
      <w:lvlJc w:val="left"/>
      <w:pPr>
        <w:ind w:left="6237"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lvlRestart w:val="3"/>
      <w:suff w:val="space"/>
      <w:lvlText w:val="%1.%2.%3.%5"/>
      <w:lvlJc w:val="left"/>
      <w:pPr>
        <w:ind w:left="708"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5" w:tentative="0">
      <w:start w:val="1"/>
      <w:numFmt w:val="decimal"/>
      <w:lvlRestart w:val="2"/>
      <w:pStyle w:val="41"/>
      <w:suff w:val="space"/>
      <w:lvlText w:val="图%1.%2-%6"/>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8"/>
  </w:num>
  <w:num w:numId="2">
    <w:abstractNumId w:val="5"/>
  </w:num>
  <w:num w:numId="3">
    <w:abstractNumId w:val="1"/>
  </w:num>
  <w:num w:numId="4">
    <w:abstractNumId w:val="6"/>
  </w:num>
  <w:num w:numId="5">
    <w:abstractNumId w:val="0"/>
  </w:num>
  <w:num w:numId="6">
    <w:abstractNumId w:val="3"/>
  </w:num>
  <w:num w:numId="7">
    <w:abstractNumId w:val="7"/>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hMWRhOWNhMTliYzg2ZmZlNTFiMjA0NWE3NmI2OWYifQ=="/>
  </w:docVars>
  <w:rsids>
    <w:rsidRoot w:val="00172A27"/>
    <w:rsid w:val="000060B3"/>
    <w:rsid w:val="0004364B"/>
    <w:rsid w:val="00053662"/>
    <w:rsid w:val="00061B1F"/>
    <w:rsid w:val="000733C4"/>
    <w:rsid w:val="00074783"/>
    <w:rsid w:val="0008070B"/>
    <w:rsid w:val="000810AC"/>
    <w:rsid w:val="00081A02"/>
    <w:rsid w:val="00082231"/>
    <w:rsid w:val="00083C01"/>
    <w:rsid w:val="00085AFA"/>
    <w:rsid w:val="00092D38"/>
    <w:rsid w:val="0009377B"/>
    <w:rsid w:val="000A20C9"/>
    <w:rsid w:val="000A456D"/>
    <w:rsid w:val="000B058F"/>
    <w:rsid w:val="000B34F4"/>
    <w:rsid w:val="000B4467"/>
    <w:rsid w:val="000B4DB9"/>
    <w:rsid w:val="000C09AC"/>
    <w:rsid w:val="000C34DB"/>
    <w:rsid w:val="000C767F"/>
    <w:rsid w:val="000D5A44"/>
    <w:rsid w:val="000E3ED2"/>
    <w:rsid w:val="00131F42"/>
    <w:rsid w:val="001357F1"/>
    <w:rsid w:val="00135DF9"/>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E3CF2"/>
    <w:rsid w:val="001F0F17"/>
    <w:rsid w:val="001F3347"/>
    <w:rsid w:val="001F5FDA"/>
    <w:rsid w:val="001F69E4"/>
    <w:rsid w:val="002125B4"/>
    <w:rsid w:val="0021552B"/>
    <w:rsid w:val="002155B8"/>
    <w:rsid w:val="00224839"/>
    <w:rsid w:val="002249B2"/>
    <w:rsid w:val="00226574"/>
    <w:rsid w:val="002278EC"/>
    <w:rsid w:val="0023280E"/>
    <w:rsid w:val="002377D1"/>
    <w:rsid w:val="002506BC"/>
    <w:rsid w:val="00254345"/>
    <w:rsid w:val="0025603D"/>
    <w:rsid w:val="00264557"/>
    <w:rsid w:val="00274B91"/>
    <w:rsid w:val="00276ADC"/>
    <w:rsid w:val="002805AB"/>
    <w:rsid w:val="00284204"/>
    <w:rsid w:val="00291773"/>
    <w:rsid w:val="002A168C"/>
    <w:rsid w:val="002A3DC7"/>
    <w:rsid w:val="002B49E2"/>
    <w:rsid w:val="002B7B00"/>
    <w:rsid w:val="002B7C44"/>
    <w:rsid w:val="002C1243"/>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360D"/>
    <w:rsid w:val="00366E0F"/>
    <w:rsid w:val="00381A72"/>
    <w:rsid w:val="00384676"/>
    <w:rsid w:val="00390857"/>
    <w:rsid w:val="003A4BF3"/>
    <w:rsid w:val="003B420D"/>
    <w:rsid w:val="003C25E1"/>
    <w:rsid w:val="003C6C16"/>
    <w:rsid w:val="003D1864"/>
    <w:rsid w:val="003D794D"/>
    <w:rsid w:val="003E3058"/>
    <w:rsid w:val="003E76A9"/>
    <w:rsid w:val="003F0809"/>
    <w:rsid w:val="003F6A8C"/>
    <w:rsid w:val="003F755C"/>
    <w:rsid w:val="00406F01"/>
    <w:rsid w:val="0041519C"/>
    <w:rsid w:val="00416D50"/>
    <w:rsid w:val="00416FD5"/>
    <w:rsid w:val="00417772"/>
    <w:rsid w:val="00420E6A"/>
    <w:rsid w:val="00425A9E"/>
    <w:rsid w:val="00426D6B"/>
    <w:rsid w:val="00431478"/>
    <w:rsid w:val="00431E6C"/>
    <w:rsid w:val="00433CE7"/>
    <w:rsid w:val="00452738"/>
    <w:rsid w:val="00456091"/>
    <w:rsid w:val="00466321"/>
    <w:rsid w:val="00473D5F"/>
    <w:rsid w:val="00484B9B"/>
    <w:rsid w:val="004855F6"/>
    <w:rsid w:val="0048661E"/>
    <w:rsid w:val="00494670"/>
    <w:rsid w:val="00497F32"/>
    <w:rsid w:val="004A3823"/>
    <w:rsid w:val="004B47D9"/>
    <w:rsid w:val="004B5193"/>
    <w:rsid w:val="004C005E"/>
    <w:rsid w:val="004C69F1"/>
    <w:rsid w:val="004E6946"/>
    <w:rsid w:val="004F1AD8"/>
    <w:rsid w:val="004F5733"/>
    <w:rsid w:val="005033BA"/>
    <w:rsid w:val="005039CB"/>
    <w:rsid w:val="0050558F"/>
    <w:rsid w:val="00506286"/>
    <w:rsid w:val="00510813"/>
    <w:rsid w:val="00511990"/>
    <w:rsid w:val="00511DE0"/>
    <w:rsid w:val="00514870"/>
    <w:rsid w:val="00514B9B"/>
    <w:rsid w:val="00517F02"/>
    <w:rsid w:val="00521DBB"/>
    <w:rsid w:val="00524303"/>
    <w:rsid w:val="005258A2"/>
    <w:rsid w:val="005401AE"/>
    <w:rsid w:val="00542E07"/>
    <w:rsid w:val="00545424"/>
    <w:rsid w:val="00554A7B"/>
    <w:rsid w:val="0055572C"/>
    <w:rsid w:val="0056106A"/>
    <w:rsid w:val="005720AE"/>
    <w:rsid w:val="00574250"/>
    <w:rsid w:val="00594D77"/>
    <w:rsid w:val="005969E4"/>
    <w:rsid w:val="005A06B7"/>
    <w:rsid w:val="005A1759"/>
    <w:rsid w:val="005A2E6A"/>
    <w:rsid w:val="005A68A7"/>
    <w:rsid w:val="005D36AB"/>
    <w:rsid w:val="00617CC3"/>
    <w:rsid w:val="006213A4"/>
    <w:rsid w:val="006377A6"/>
    <w:rsid w:val="00637A3D"/>
    <w:rsid w:val="006411EF"/>
    <w:rsid w:val="006714E1"/>
    <w:rsid w:val="006748B8"/>
    <w:rsid w:val="006775C3"/>
    <w:rsid w:val="0068795D"/>
    <w:rsid w:val="0069290A"/>
    <w:rsid w:val="0069775A"/>
    <w:rsid w:val="00697813"/>
    <w:rsid w:val="006A034C"/>
    <w:rsid w:val="006A3EE8"/>
    <w:rsid w:val="006A72BF"/>
    <w:rsid w:val="006B03F2"/>
    <w:rsid w:val="006B37DC"/>
    <w:rsid w:val="006B4F68"/>
    <w:rsid w:val="006C0592"/>
    <w:rsid w:val="006C272E"/>
    <w:rsid w:val="006C5479"/>
    <w:rsid w:val="006D09FD"/>
    <w:rsid w:val="006D13B5"/>
    <w:rsid w:val="006E12FF"/>
    <w:rsid w:val="006E607E"/>
    <w:rsid w:val="00706C5D"/>
    <w:rsid w:val="00716CBA"/>
    <w:rsid w:val="00732922"/>
    <w:rsid w:val="00733EC7"/>
    <w:rsid w:val="00735E2A"/>
    <w:rsid w:val="0075162E"/>
    <w:rsid w:val="00754034"/>
    <w:rsid w:val="00756556"/>
    <w:rsid w:val="007618C4"/>
    <w:rsid w:val="00767980"/>
    <w:rsid w:val="00770B19"/>
    <w:rsid w:val="007722B4"/>
    <w:rsid w:val="0077463F"/>
    <w:rsid w:val="007836EA"/>
    <w:rsid w:val="00784CDA"/>
    <w:rsid w:val="007906C4"/>
    <w:rsid w:val="007940EA"/>
    <w:rsid w:val="007967E8"/>
    <w:rsid w:val="007A2170"/>
    <w:rsid w:val="007A22BF"/>
    <w:rsid w:val="007A3323"/>
    <w:rsid w:val="007B72B8"/>
    <w:rsid w:val="007B7A58"/>
    <w:rsid w:val="007C21B5"/>
    <w:rsid w:val="007C5A26"/>
    <w:rsid w:val="007D2B16"/>
    <w:rsid w:val="007E4BD2"/>
    <w:rsid w:val="00801393"/>
    <w:rsid w:val="00802F88"/>
    <w:rsid w:val="0081293E"/>
    <w:rsid w:val="00815465"/>
    <w:rsid w:val="00817E9A"/>
    <w:rsid w:val="008306BD"/>
    <w:rsid w:val="00831A80"/>
    <w:rsid w:val="00833743"/>
    <w:rsid w:val="008340A4"/>
    <w:rsid w:val="00851700"/>
    <w:rsid w:val="0087135F"/>
    <w:rsid w:val="00872D94"/>
    <w:rsid w:val="00880364"/>
    <w:rsid w:val="00886402"/>
    <w:rsid w:val="00891592"/>
    <w:rsid w:val="00891E9E"/>
    <w:rsid w:val="00891F8A"/>
    <w:rsid w:val="008A2F68"/>
    <w:rsid w:val="008B07CA"/>
    <w:rsid w:val="008B2BC7"/>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35ACC"/>
    <w:rsid w:val="0094154D"/>
    <w:rsid w:val="0095155F"/>
    <w:rsid w:val="00954429"/>
    <w:rsid w:val="009563CE"/>
    <w:rsid w:val="00976328"/>
    <w:rsid w:val="0097680D"/>
    <w:rsid w:val="00982438"/>
    <w:rsid w:val="0098404C"/>
    <w:rsid w:val="00985283"/>
    <w:rsid w:val="009864EE"/>
    <w:rsid w:val="00995992"/>
    <w:rsid w:val="009A03E5"/>
    <w:rsid w:val="009A0F3B"/>
    <w:rsid w:val="009A1BB4"/>
    <w:rsid w:val="009A2628"/>
    <w:rsid w:val="009A3200"/>
    <w:rsid w:val="009B0897"/>
    <w:rsid w:val="009B7BD9"/>
    <w:rsid w:val="009C7DD5"/>
    <w:rsid w:val="009E227D"/>
    <w:rsid w:val="009E485D"/>
    <w:rsid w:val="009E5019"/>
    <w:rsid w:val="00A02EAD"/>
    <w:rsid w:val="00A03A72"/>
    <w:rsid w:val="00A04F1B"/>
    <w:rsid w:val="00A0501B"/>
    <w:rsid w:val="00A14947"/>
    <w:rsid w:val="00A15DBC"/>
    <w:rsid w:val="00A27DEC"/>
    <w:rsid w:val="00A32A83"/>
    <w:rsid w:val="00A368DB"/>
    <w:rsid w:val="00A423AA"/>
    <w:rsid w:val="00A53EC6"/>
    <w:rsid w:val="00A55C0F"/>
    <w:rsid w:val="00A652EB"/>
    <w:rsid w:val="00A80EF0"/>
    <w:rsid w:val="00A8713F"/>
    <w:rsid w:val="00A90BA1"/>
    <w:rsid w:val="00A916D6"/>
    <w:rsid w:val="00A97A9A"/>
    <w:rsid w:val="00AA0671"/>
    <w:rsid w:val="00AA2531"/>
    <w:rsid w:val="00AB1E09"/>
    <w:rsid w:val="00AB3862"/>
    <w:rsid w:val="00AB5330"/>
    <w:rsid w:val="00AB7747"/>
    <w:rsid w:val="00AC14CE"/>
    <w:rsid w:val="00AC2A56"/>
    <w:rsid w:val="00AD055E"/>
    <w:rsid w:val="00AD47A7"/>
    <w:rsid w:val="00AD5FF2"/>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0488"/>
    <w:rsid w:val="00B7723F"/>
    <w:rsid w:val="00B80534"/>
    <w:rsid w:val="00B8433C"/>
    <w:rsid w:val="00B87491"/>
    <w:rsid w:val="00BA29E9"/>
    <w:rsid w:val="00BA621F"/>
    <w:rsid w:val="00BA7142"/>
    <w:rsid w:val="00BB237C"/>
    <w:rsid w:val="00BB41A3"/>
    <w:rsid w:val="00BC32DC"/>
    <w:rsid w:val="00BC35B6"/>
    <w:rsid w:val="00BD1B51"/>
    <w:rsid w:val="00BD3990"/>
    <w:rsid w:val="00BD4596"/>
    <w:rsid w:val="00BE1405"/>
    <w:rsid w:val="00BE312D"/>
    <w:rsid w:val="00BE5F59"/>
    <w:rsid w:val="00BF1C20"/>
    <w:rsid w:val="00C10578"/>
    <w:rsid w:val="00C135BC"/>
    <w:rsid w:val="00C15C95"/>
    <w:rsid w:val="00C2596A"/>
    <w:rsid w:val="00C27537"/>
    <w:rsid w:val="00C328FE"/>
    <w:rsid w:val="00C33507"/>
    <w:rsid w:val="00C4409D"/>
    <w:rsid w:val="00C44E72"/>
    <w:rsid w:val="00C45A06"/>
    <w:rsid w:val="00C47E5B"/>
    <w:rsid w:val="00C55754"/>
    <w:rsid w:val="00C61E4B"/>
    <w:rsid w:val="00C64259"/>
    <w:rsid w:val="00C64BFF"/>
    <w:rsid w:val="00C704E9"/>
    <w:rsid w:val="00C763C9"/>
    <w:rsid w:val="00C80057"/>
    <w:rsid w:val="00C82232"/>
    <w:rsid w:val="00C82913"/>
    <w:rsid w:val="00C93609"/>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3742"/>
    <w:rsid w:val="00D36D86"/>
    <w:rsid w:val="00D37822"/>
    <w:rsid w:val="00D428AA"/>
    <w:rsid w:val="00D50A34"/>
    <w:rsid w:val="00D53EFA"/>
    <w:rsid w:val="00D55179"/>
    <w:rsid w:val="00D94A7C"/>
    <w:rsid w:val="00D95896"/>
    <w:rsid w:val="00DB2983"/>
    <w:rsid w:val="00DC1257"/>
    <w:rsid w:val="00DC3DC0"/>
    <w:rsid w:val="00DC5B2B"/>
    <w:rsid w:val="00DD318D"/>
    <w:rsid w:val="00DE7C1A"/>
    <w:rsid w:val="00DF2E12"/>
    <w:rsid w:val="00DF514A"/>
    <w:rsid w:val="00DF6690"/>
    <w:rsid w:val="00DF6804"/>
    <w:rsid w:val="00E0358D"/>
    <w:rsid w:val="00E04323"/>
    <w:rsid w:val="00E06B35"/>
    <w:rsid w:val="00E070A2"/>
    <w:rsid w:val="00E2656A"/>
    <w:rsid w:val="00E31FB6"/>
    <w:rsid w:val="00E412D0"/>
    <w:rsid w:val="00E41548"/>
    <w:rsid w:val="00E56322"/>
    <w:rsid w:val="00E57C5D"/>
    <w:rsid w:val="00E60982"/>
    <w:rsid w:val="00E61CF7"/>
    <w:rsid w:val="00E62C62"/>
    <w:rsid w:val="00E654C1"/>
    <w:rsid w:val="00E65D97"/>
    <w:rsid w:val="00E70F72"/>
    <w:rsid w:val="00E72A5A"/>
    <w:rsid w:val="00E73354"/>
    <w:rsid w:val="00E9242D"/>
    <w:rsid w:val="00EA0332"/>
    <w:rsid w:val="00EB5255"/>
    <w:rsid w:val="00EB5C47"/>
    <w:rsid w:val="00ED0639"/>
    <w:rsid w:val="00EF4755"/>
    <w:rsid w:val="00EF7135"/>
    <w:rsid w:val="00F027DB"/>
    <w:rsid w:val="00F14A7A"/>
    <w:rsid w:val="00F17DF8"/>
    <w:rsid w:val="00F22985"/>
    <w:rsid w:val="00F22A0A"/>
    <w:rsid w:val="00F306D4"/>
    <w:rsid w:val="00F3383E"/>
    <w:rsid w:val="00F465A7"/>
    <w:rsid w:val="00F50B7C"/>
    <w:rsid w:val="00F550E6"/>
    <w:rsid w:val="00F74219"/>
    <w:rsid w:val="00F74345"/>
    <w:rsid w:val="00F80A0A"/>
    <w:rsid w:val="00F82B19"/>
    <w:rsid w:val="00F9212D"/>
    <w:rsid w:val="00F965DA"/>
    <w:rsid w:val="00FA406A"/>
    <w:rsid w:val="00FA4144"/>
    <w:rsid w:val="00FB503A"/>
    <w:rsid w:val="00FB516C"/>
    <w:rsid w:val="00FD0236"/>
    <w:rsid w:val="00FD18F4"/>
    <w:rsid w:val="00FD54DB"/>
    <w:rsid w:val="00FD619F"/>
    <w:rsid w:val="01290F7E"/>
    <w:rsid w:val="015D1E09"/>
    <w:rsid w:val="0193182A"/>
    <w:rsid w:val="01B01A06"/>
    <w:rsid w:val="01B01E2E"/>
    <w:rsid w:val="01EE2969"/>
    <w:rsid w:val="024A09F9"/>
    <w:rsid w:val="025008C3"/>
    <w:rsid w:val="0254307C"/>
    <w:rsid w:val="02697903"/>
    <w:rsid w:val="02916611"/>
    <w:rsid w:val="02940B0B"/>
    <w:rsid w:val="02A407F2"/>
    <w:rsid w:val="02A451AA"/>
    <w:rsid w:val="02B9614D"/>
    <w:rsid w:val="02F96569"/>
    <w:rsid w:val="0353482C"/>
    <w:rsid w:val="03E86E2E"/>
    <w:rsid w:val="03EA7B21"/>
    <w:rsid w:val="043D09D3"/>
    <w:rsid w:val="044C7FEF"/>
    <w:rsid w:val="04C91D4E"/>
    <w:rsid w:val="054736D6"/>
    <w:rsid w:val="058F34B0"/>
    <w:rsid w:val="05BB6053"/>
    <w:rsid w:val="05BE6EE6"/>
    <w:rsid w:val="05DD0F68"/>
    <w:rsid w:val="05F83EAE"/>
    <w:rsid w:val="063B031E"/>
    <w:rsid w:val="063E7D85"/>
    <w:rsid w:val="066E292B"/>
    <w:rsid w:val="06867EAC"/>
    <w:rsid w:val="06C507A5"/>
    <w:rsid w:val="06F85AD3"/>
    <w:rsid w:val="06F86E33"/>
    <w:rsid w:val="06FC4B75"/>
    <w:rsid w:val="07283BBC"/>
    <w:rsid w:val="07293586"/>
    <w:rsid w:val="07295285"/>
    <w:rsid w:val="075C265D"/>
    <w:rsid w:val="07636392"/>
    <w:rsid w:val="07770C56"/>
    <w:rsid w:val="077E1463"/>
    <w:rsid w:val="07D6482D"/>
    <w:rsid w:val="08320F44"/>
    <w:rsid w:val="08351215"/>
    <w:rsid w:val="08370434"/>
    <w:rsid w:val="08433355"/>
    <w:rsid w:val="085D34B6"/>
    <w:rsid w:val="086636AC"/>
    <w:rsid w:val="08880476"/>
    <w:rsid w:val="08BC3D58"/>
    <w:rsid w:val="08D00067"/>
    <w:rsid w:val="08D74FC2"/>
    <w:rsid w:val="092217DD"/>
    <w:rsid w:val="092843F1"/>
    <w:rsid w:val="093A7294"/>
    <w:rsid w:val="09664665"/>
    <w:rsid w:val="09A907AE"/>
    <w:rsid w:val="09FC139F"/>
    <w:rsid w:val="0A213661"/>
    <w:rsid w:val="0A2462DA"/>
    <w:rsid w:val="0A263993"/>
    <w:rsid w:val="0A2D3AC2"/>
    <w:rsid w:val="0A473B2F"/>
    <w:rsid w:val="0A4B2098"/>
    <w:rsid w:val="0A4D57EE"/>
    <w:rsid w:val="0A625E77"/>
    <w:rsid w:val="0A79472F"/>
    <w:rsid w:val="0AA755DF"/>
    <w:rsid w:val="0B027489"/>
    <w:rsid w:val="0B0A71A3"/>
    <w:rsid w:val="0B120D44"/>
    <w:rsid w:val="0B7A69B0"/>
    <w:rsid w:val="0B971913"/>
    <w:rsid w:val="0BD27BF6"/>
    <w:rsid w:val="0C20204F"/>
    <w:rsid w:val="0C3B3C7D"/>
    <w:rsid w:val="0C5238E0"/>
    <w:rsid w:val="0CAB2EAE"/>
    <w:rsid w:val="0CEF07B8"/>
    <w:rsid w:val="0D4C6BC6"/>
    <w:rsid w:val="0D5A1F35"/>
    <w:rsid w:val="0D621C7D"/>
    <w:rsid w:val="0D8B27AF"/>
    <w:rsid w:val="0DA14EEE"/>
    <w:rsid w:val="0DB84259"/>
    <w:rsid w:val="0E460DCC"/>
    <w:rsid w:val="0E73034D"/>
    <w:rsid w:val="0E962C80"/>
    <w:rsid w:val="0EBE6F5D"/>
    <w:rsid w:val="0EC96D8B"/>
    <w:rsid w:val="0ED2520F"/>
    <w:rsid w:val="0EF7790D"/>
    <w:rsid w:val="0F13775A"/>
    <w:rsid w:val="0F3B0205"/>
    <w:rsid w:val="0F44666B"/>
    <w:rsid w:val="0F5F45FE"/>
    <w:rsid w:val="0F9A112B"/>
    <w:rsid w:val="0FA309B5"/>
    <w:rsid w:val="0FC6504A"/>
    <w:rsid w:val="0FCE1647"/>
    <w:rsid w:val="0FE15B37"/>
    <w:rsid w:val="100D3290"/>
    <w:rsid w:val="10322E5D"/>
    <w:rsid w:val="105F7238"/>
    <w:rsid w:val="10665BA5"/>
    <w:rsid w:val="106D2F64"/>
    <w:rsid w:val="10766D0F"/>
    <w:rsid w:val="10925007"/>
    <w:rsid w:val="10B63710"/>
    <w:rsid w:val="10BC601B"/>
    <w:rsid w:val="10F10820"/>
    <w:rsid w:val="11032BEB"/>
    <w:rsid w:val="111211A0"/>
    <w:rsid w:val="111C2F7A"/>
    <w:rsid w:val="11416E38"/>
    <w:rsid w:val="115D0906"/>
    <w:rsid w:val="11665CA1"/>
    <w:rsid w:val="11765E52"/>
    <w:rsid w:val="11B60564"/>
    <w:rsid w:val="11F227A7"/>
    <w:rsid w:val="11F5028D"/>
    <w:rsid w:val="120174E4"/>
    <w:rsid w:val="12556E50"/>
    <w:rsid w:val="12B524CD"/>
    <w:rsid w:val="132D6952"/>
    <w:rsid w:val="13763C28"/>
    <w:rsid w:val="13951726"/>
    <w:rsid w:val="13E054B5"/>
    <w:rsid w:val="143037F7"/>
    <w:rsid w:val="14396509"/>
    <w:rsid w:val="14401D8F"/>
    <w:rsid w:val="14452AE5"/>
    <w:rsid w:val="145061F0"/>
    <w:rsid w:val="14BC5A0A"/>
    <w:rsid w:val="14DD2C3C"/>
    <w:rsid w:val="150A42DA"/>
    <w:rsid w:val="1528122B"/>
    <w:rsid w:val="156041BD"/>
    <w:rsid w:val="16087E1D"/>
    <w:rsid w:val="160B3932"/>
    <w:rsid w:val="161C0033"/>
    <w:rsid w:val="162069C3"/>
    <w:rsid w:val="163C1560"/>
    <w:rsid w:val="167F284B"/>
    <w:rsid w:val="169A18FF"/>
    <w:rsid w:val="173523B9"/>
    <w:rsid w:val="1757768E"/>
    <w:rsid w:val="17701D14"/>
    <w:rsid w:val="17735226"/>
    <w:rsid w:val="179E57D5"/>
    <w:rsid w:val="183133ED"/>
    <w:rsid w:val="189F624C"/>
    <w:rsid w:val="191F4D84"/>
    <w:rsid w:val="196150EA"/>
    <w:rsid w:val="1964143A"/>
    <w:rsid w:val="197154DC"/>
    <w:rsid w:val="1977008B"/>
    <w:rsid w:val="1993109D"/>
    <w:rsid w:val="199A1221"/>
    <w:rsid w:val="19F17B39"/>
    <w:rsid w:val="1A1C5D81"/>
    <w:rsid w:val="1A1C66C0"/>
    <w:rsid w:val="1A42393B"/>
    <w:rsid w:val="1AA555D5"/>
    <w:rsid w:val="1AAD45DE"/>
    <w:rsid w:val="1B046F80"/>
    <w:rsid w:val="1B1D66B2"/>
    <w:rsid w:val="1B2C36B8"/>
    <w:rsid w:val="1B3267B5"/>
    <w:rsid w:val="1B3A228B"/>
    <w:rsid w:val="1B40161D"/>
    <w:rsid w:val="1B441859"/>
    <w:rsid w:val="1B6606B1"/>
    <w:rsid w:val="1B9D08A1"/>
    <w:rsid w:val="1BBB6E7B"/>
    <w:rsid w:val="1C556DAA"/>
    <w:rsid w:val="1C5E7925"/>
    <w:rsid w:val="1C646B72"/>
    <w:rsid w:val="1C68195B"/>
    <w:rsid w:val="1C866D4E"/>
    <w:rsid w:val="1CD36C7B"/>
    <w:rsid w:val="1CD60191"/>
    <w:rsid w:val="1CFD070F"/>
    <w:rsid w:val="1D3013E0"/>
    <w:rsid w:val="1D5F6196"/>
    <w:rsid w:val="1D6132A5"/>
    <w:rsid w:val="1D8E56D5"/>
    <w:rsid w:val="1E3805D3"/>
    <w:rsid w:val="1E425653"/>
    <w:rsid w:val="1E4A684B"/>
    <w:rsid w:val="1E7A43DA"/>
    <w:rsid w:val="1F286384"/>
    <w:rsid w:val="1FE7539E"/>
    <w:rsid w:val="201650BC"/>
    <w:rsid w:val="2032217B"/>
    <w:rsid w:val="2039576C"/>
    <w:rsid w:val="20671BE0"/>
    <w:rsid w:val="207F6B30"/>
    <w:rsid w:val="20963CB8"/>
    <w:rsid w:val="209A590F"/>
    <w:rsid w:val="20A81A1B"/>
    <w:rsid w:val="20B07FB6"/>
    <w:rsid w:val="20B646FB"/>
    <w:rsid w:val="20D858B3"/>
    <w:rsid w:val="20F86C3A"/>
    <w:rsid w:val="211122ED"/>
    <w:rsid w:val="21175979"/>
    <w:rsid w:val="213427CB"/>
    <w:rsid w:val="213B74B1"/>
    <w:rsid w:val="213F09B3"/>
    <w:rsid w:val="215A2310"/>
    <w:rsid w:val="215D04AF"/>
    <w:rsid w:val="21861245"/>
    <w:rsid w:val="21A27922"/>
    <w:rsid w:val="21DE318A"/>
    <w:rsid w:val="21E62252"/>
    <w:rsid w:val="21EF12D9"/>
    <w:rsid w:val="21EF5B80"/>
    <w:rsid w:val="22576990"/>
    <w:rsid w:val="22731912"/>
    <w:rsid w:val="228923DA"/>
    <w:rsid w:val="22B6402F"/>
    <w:rsid w:val="22F47480"/>
    <w:rsid w:val="237C4935"/>
    <w:rsid w:val="2389637C"/>
    <w:rsid w:val="23DE1C48"/>
    <w:rsid w:val="240127BA"/>
    <w:rsid w:val="240210CD"/>
    <w:rsid w:val="24AA2336"/>
    <w:rsid w:val="24BC0583"/>
    <w:rsid w:val="24BF09F7"/>
    <w:rsid w:val="24C30D73"/>
    <w:rsid w:val="25095901"/>
    <w:rsid w:val="25105A56"/>
    <w:rsid w:val="252D53FE"/>
    <w:rsid w:val="25EC2D81"/>
    <w:rsid w:val="26094761"/>
    <w:rsid w:val="26C37EDD"/>
    <w:rsid w:val="27197B72"/>
    <w:rsid w:val="272337C8"/>
    <w:rsid w:val="27243A5A"/>
    <w:rsid w:val="27280C17"/>
    <w:rsid w:val="274B7D74"/>
    <w:rsid w:val="275C1363"/>
    <w:rsid w:val="277057A2"/>
    <w:rsid w:val="27734D48"/>
    <w:rsid w:val="27AC7669"/>
    <w:rsid w:val="27EE304D"/>
    <w:rsid w:val="2806455C"/>
    <w:rsid w:val="28237D5C"/>
    <w:rsid w:val="28A42EBB"/>
    <w:rsid w:val="28A6098D"/>
    <w:rsid w:val="28B43FF1"/>
    <w:rsid w:val="291B6000"/>
    <w:rsid w:val="29206EB8"/>
    <w:rsid w:val="29595666"/>
    <w:rsid w:val="297950C2"/>
    <w:rsid w:val="297C3623"/>
    <w:rsid w:val="29874881"/>
    <w:rsid w:val="29A664CF"/>
    <w:rsid w:val="29AF1969"/>
    <w:rsid w:val="29E325E0"/>
    <w:rsid w:val="29E51AED"/>
    <w:rsid w:val="2A2953D2"/>
    <w:rsid w:val="2A452503"/>
    <w:rsid w:val="2A8049DD"/>
    <w:rsid w:val="2A85396C"/>
    <w:rsid w:val="2AB67437"/>
    <w:rsid w:val="2AC54596"/>
    <w:rsid w:val="2B251FF8"/>
    <w:rsid w:val="2B2F5152"/>
    <w:rsid w:val="2B633393"/>
    <w:rsid w:val="2BA647AD"/>
    <w:rsid w:val="2BA936A8"/>
    <w:rsid w:val="2BC92E0B"/>
    <w:rsid w:val="2BFD08C4"/>
    <w:rsid w:val="2BFF3E18"/>
    <w:rsid w:val="2C315A5A"/>
    <w:rsid w:val="2C4B1C25"/>
    <w:rsid w:val="2CA217CC"/>
    <w:rsid w:val="2CC43900"/>
    <w:rsid w:val="2CEE35CE"/>
    <w:rsid w:val="2CF95EE3"/>
    <w:rsid w:val="2D9E56F5"/>
    <w:rsid w:val="2DE6649D"/>
    <w:rsid w:val="2E666BF4"/>
    <w:rsid w:val="2E667F96"/>
    <w:rsid w:val="2E6D3B0A"/>
    <w:rsid w:val="2E8226AB"/>
    <w:rsid w:val="2EBB16CF"/>
    <w:rsid w:val="2EEE4CA9"/>
    <w:rsid w:val="2F3A1CDC"/>
    <w:rsid w:val="2F4E363A"/>
    <w:rsid w:val="2F527179"/>
    <w:rsid w:val="2F9D6DB9"/>
    <w:rsid w:val="2FBB7E92"/>
    <w:rsid w:val="2FD065E6"/>
    <w:rsid w:val="2FD96870"/>
    <w:rsid w:val="303D0565"/>
    <w:rsid w:val="303E7C51"/>
    <w:rsid w:val="30580BC9"/>
    <w:rsid w:val="30BD2123"/>
    <w:rsid w:val="31167283"/>
    <w:rsid w:val="311E2ED7"/>
    <w:rsid w:val="31247B5A"/>
    <w:rsid w:val="315619EE"/>
    <w:rsid w:val="315C449C"/>
    <w:rsid w:val="31797E91"/>
    <w:rsid w:val="31A83080"/>
    <w:rsid w:val="31B82709"/>
    <w:rsid w:val="31D05482"/>
    <w:rsid w:val="31F71EB6"/>
    <w:rsid w:val="32031FD4"/>
    <w:rsid w:val="321A5E2D"/>
    <w:rsid w:val="3236560D"/>
    <w:rsid w:val="32400B34"/>
    <w:rsid w:val="325B3943"/>
    <w:rsid w:val="32756EC3"/>
    <w:rsid w:val="329E6876"/>
    <w:rsid w:val="32FD10F9"/>
    <w:rsid w:val="333015F2"/>
    <w:rsid w:val="334B6320"/>
    <w:rsid w:val="33592662"/>
    <w:rsid w:val="33D934D4"/>
    <w:rsid w:val="33ED56C2"/>
    <w:rsid w:val="33FE2F6A"/>
    <w:rsid w:val="340E07E5"/>
    <w:rsid w:val="34235BF7"/>
    <w:rsid w:val="348E2A01"/>
    <w:rsid w:val="34A06320"/>
    <w:rsid w:val="34C91EC3"/>
    <w:rsid w:val="352D2771"/>
    <w:rsid w:val="35421C95"/>
    <w:rsid w:val="35460A00"/>
    <w:rsid w:val="358C46FA"/>
    <w:rsid w:val="358C5FA8"/>
    <w:rsid w:val="35C15DF1"/>
    <w:rsid w:val="36074A7F"/>
    <w:rsid w:val="36240D15"/>
    <w:rsid w:val="362A6111"/>
    <w:rsid w:val="362C24D2"/>
    <w:rsid w:val="365051E2"/>
    <w:rsid w:val="36680C9F"/>
    <w:rsid w:val="367333B1"/>
    <w:rsid w:val="36923549"/>
    <w:rsid w:val="36B75FBF"/>
    <w:rsid w:val="36BD0C45"/>
    <w:rsid w:val="36D76194"/>
    <w:rsid w:val="372E4361"/>
    <w:rsid w:val="37E00298"/>
    <w:rsid w:val="38096119"/>
    <w:rsid w:val="383702C5"/>
    <w:rsid w:val="384B1323"/>
    <w:rsid w:val="386B0B10"/>
    <w:rsid w:val="38B302F9"/>
    <w:rsid w:val="38F12CD3"/>
    <w:rsid w:val="38F94775"/>
    <w:rsid w:val="390E2811"/>
    <w:rsid w:val="392463CE"/>
    <w:rsid w:val="392971ED"/>
    <w:rsid w:val="39325651"/>
    <w:rsid w:val="3946032F"/>
    <w:rsid w:val="3A872856"/>
    <w:rsid w:val="3A8B353F"/>
    <w:rsid w:val="3A971EB5"/>
    <w:rsid w:val="3B0D3A85"/>
    <w:rsid w:val="3B1C4761"/>
    <w:rsid w:val="3B3763D1"/>
    <w:rsid w:val="3B4C5D9D"/>
    <w:rsid w:val="3B714482"/>
    <w:rsid w:val="3BB41EF2"/>
    <w:rsid w:val="3BC11091"/>
    <w:rsid w:val="3BFB1E7F"/>
    <w:rsid w:val="3C1A2078"/>
    <w:rsid w:val="3C2F6E1E"/>
    <w:rsid w:val="3C355E58"/>
    <w:rsid w:val="3C4F64BA"/>
    <w:rsid w:val="3C6147B5"/>
    <w:rsid w:val="3CDA245A"/>
    <w:rsid w:val="3CE54EA8"/>
    <w:rsid w:val="3CEF2802"/>
    <w:rsid w:val="3CEF3067"/>
    <w:rsid w:val="3CF11D7F"/>
    <w:rsid w:val="3D1E06B7"/>
    <w:rsid w:val="3D755B73"/>
    <w:rsid w:val="3D88603F"/>
    <w:rsid w:val="3D8B1E03"/>
    <w:rsid w:val="3E125019"/>
    <w:rsid w:val="3E6221B0"/>
    <w:rsid w:val="3EBA2833"/>
    <w:rsid w:val="3ED97618"/>
    <w:rsid w:val="3EDA0523"/>
    <w:rsid w:val="3F141824"/>
    <w:rsid w:val="3F354CD1"/>
    <w:rsid w:val="3FE07E89"/>
    <w:rsid w:val="3FFE2DB4"/>
    <w:rsid w:val="401765F8"/>
    <w:rsid w:val="404B3E24"/>
    <w:rsid w:val="407A6407"/>
    <w:rsid w:val="40BC03D3"/>
    <w:rsid w:val="412C3D63"/>
    <w:rsid w:val="41570770"/>
    <w:rsid w:val="41BF174F"/>
    <w:rsid w:val="4200449D"/>
    <w:rsid w:val="423A3BCC"/>
    <w:rsid w:val="424E57D2"/>
    <w:rsid w:val="427B3974"/>
    <w:rsid w:val="428656E9"/>
    <w:rsid w:val="42985DBB"/>
    <w:rsid w:val="42AC2BD9"/>
    <w:rsid w:val="42B26C49"/>
    <w:rsid w:val="433A6FE6"/>
    <w:rsid w:val="43480868"/>
    <w:rsid w:val="4350713C"/>
    <w:rsid w:val="436653E0"/>
    <w:rsid w:val="43810BD0"/>
    <w:rsid w:val="43B17E0B"/>
    <w:rsid w:val="43C4431A"/>
    <w:rsid w:val="43F30C66"/>
    <w:rsid w:val="440E489A"/>
    <w:rsid w:val="441D68FB"/>
    <w:rsid w:val="44287F40"/>
    <w:rsid w:val="446E158A"/>
    <w:rsid w:val="448C6666"/>
    <w:rsid w:val="44B01C46"/>
    <w:rsid w:val="44B951CC"/>
    <w:rsid w:val="44BB1DB8"/>
    <w:rsid w:val="44CD14E0"/>
    <w:rsid w:val="44F20B0B"/>
    <w:rsid w:val="45006255"/>
    <w:rsid w:val="452E5F4C"/>
    <w:rsid w:val="45612018"/>
    <w:rsid w:val="456B5AC8"/>
    <w:rsid w:val="4570018A"/>
    <w:rsid w:val="45740C2C"/>
    <w:rsid w:val="458946E9"/>
    <w:rsid w:val="45A47C0E"/>
    <w:rsid w:val="45D2487B"/>
    <w:rsid w:val="45E52CDA"/>
    <w:rsid w:val="460F6984"/>
    <w:rsid w:val="461F0477"/>
    <w:rsid w:val="462B5F74"/>
    <w:rsid w:val="46447D8D"/>
    <w:rsid w:val="464D4FD5"/>
    <w:rsid w:val="46577FD6"/>
    <w:rsid w:val="46971988"/>
    <w:rsid w:val="46C12B48"/>
    <w:rsid w:val="46D955A7"/>
    <w:rsid w:val="470C3805"/>
    <w:rsid w:val="47133957"/>
    <w:rsid w:val="47A07E0C"/>
    <w:rsid w:val="47CE2845"/>
    <w:rsid w:val="47DC24BF"/>
    <w:rsid w:val="47F94AE6"/>
    <w:rsid w:val="482C47F7"/>
    <w:rsid w:val="48426663"/>
    <w:rsid w:val="48437A65"/>
    <w:rsid w:val="484B23CC"/>
    <w:rsid w:val="485C5C7E"/>
    <w:rsid w:val="4870272E"/>
    <w:rsid w:val="48742B93"/>
    <w:rsid w:val="48EB7FCA"/>
    <w:rsid w:val="495D5CF9"/>
    <w:rsid w:val="49C97B31"/>
    <w:rsid w:val="49D5221D"/>
    <w:rsid w:val="49DC7715"/>
    <w:rsid w:val="49E9382E"/>
    <w:rsid w:val="4A023139"/>
    <w:rsid w:val="4A465300"/>
    <w:rsid w:val="4A6873F9"/>
    <w:rsid w:val="4A7B576F"/>
    <w:rsid w:val="4ACE3700"/>
    <w:rsid w:val="4AF561A9"/>
    <w:rsid w:val="4B156A4E"/>
    <w:rsid w:val="4BF826DA"/>
    <w:rsid w:val="4C123AC0"/>
    <w:rsid w:val="4C287D86"/>
    <w:rsid w:val="4C2E5C87"/>
    <w:rsid w:val="4C4A0649"/>
    <w:rsid w:val="4C7E5ECA"/>
    <w:rsid w:val="4C876AA5"/>
    <w:rsid w:val="4C8B35C2"/>
    <w:rsid w:val="4CA277C9"/>
    <w:rsid w:val="4CB83995"/>
    <w:rsid w:val="4CC464C7"/>
    <w:rsid w:val="4CDB2104"/>
    <w:rsid w:val="4D0E00FB"/>
    <w:rsid w:val="4D176606"/>
    <w:rsid w:val="4D1B665A"/>
    <w:rsid w:val="4D201C4F"/>
    <w:rsid w:val="4D8C4D06"/>
    <w:rsid w:val="4DC2481A"/>
    <w:rsid w:val="4DC8443E"/>
    <w:rsid w:val="4DC94652"/>
    <w:rsid w:val="4DEC4FB0"/>
    <w:rsid w:val="4E075D8A"/>
    <w:rsid w:val="4E0A2CC3"/>
    <w:rsid w:val="4E2342E1"/>
    <w:rsid w:val="4E505059"/>
    <w:rsid w:val="4E785D78"/>
    <w:rsid w:val="4EA92062"/>
    <w:rsid w:val="4EAC05A3"/>
    <w:rsid w:val="4EAD2911"/>
    <w:rsid w:val="4EC00FAD"/>
    <w:rsid w:val="4ED82D9F"/>
    <w:rsid w:val="4EF775A1"/>
    <w:rsid w:val="4EFE321D"/>
    <w:rsid w:val="4F104B99"/>
    <w:rsid w:val="4F4B3DEA"/>
    <w:rsid w:val="4F9843DC"/>
    <w:rsid w:val="4FAB6292"/>
    <w:rsid w:val="4FB77250"/>
    <w:rsid w:val="4FC62A8C"/>
    <w:rsid w:val="4FE20F0D"/>
    <w:rsid w:val="4FE51552"/>
    <w:rsid w:val="503836F6"/>
    <w:rsid w:val="50431B73"/>
    <w:rsid w:val="50504C4B"/>
    <w:rsid w:val="506D64F4"/>
    <w:rsid w:val="509C6E7C"/>
    <w:rsid w:val="50CB3FD5"/>
    <w:rsid w:val="50D4060C"/>
    <w:rsid w:val="50E60E31"/>
    <w:rsid w:val="51431BC2"/>
    <w:rsid w:val="5162104E"/>
    <w:rsid w:val="51972701"/>
    <w:rsid w:val="51AC13C0"/>
    <w:rsid w:val="51CC5DD7"/>
    <w:rsid w:val="51D16464"/>
    <w:rsid w:val="51E026D6"/>
    <w:rsid w:val="520D1924"/>
    <w:rsid w:val="521C7E9D"/>
    <w:rsid w:val="522878A9"/>
    <w:rsid w:val="52552B2F"/>
    <w:rsid w:val="52860D64"/>
    <w:rsid w:val="52A677A1"/>
    <w:rsid w:val="52AB7165"/>
    <w:rsid w:val="52E8454B"/>
    <w:rsid w:val="537C2A68"/>
    <w:rsid w:val="53A039CC"/>
    <w:rsid w:val="53A1505A"/>
    <w:rsid w:val="53E6234F"/>
    <w:rsid w:val="54063E08"/>
    <w:rsid w:val="543437E8"/>
    <w:rsid w:val="54E25369"/>
    <w:rsid w:val="54F73313"/>
    <w:rsid w:val="54F80955"/>
    <w:rsid w:val="550F10B5"/>
    <w:rsid w:val="5510028E"/>
    <w:rsid w:val="555170A7"/>
    <w:rsid w:val="5587536D"/>
    <w:rsid w:val="559922D5"/>
    <w:rsid w:val="559B174B"/>
    <w:rsid w:val="55CE0CF4"/>
    <w:rsid w:val="56054F69"/>
    <w:rsid w:val="56B22A9C"/>
    <w:rsid w:val="56C41EF1"/>
    <w:rsid w:val="56D41265"/>
    <w:rsid w:val="5715234B"/>
    <w:rsid w:val="57405985"/>
    <w:rsid w:val="57517B92"/>
    <w:rsid w:val="57612539"/>
    <w:rsid w:val="578239B8"/>
    <w:rsid w:val="57A21AA1"/>
    <w:rsid w:val="57A51C8C"/>
    <w:rsid w:val="57B72A76"/>
    <w:rsid w:val="57C3426C"/>
    <w:rsid w:val="57CE1F93"/>
    <w:rsid w:val="57F6116F"/>
    <w:rsid w:val="586B0C97"/>
    <w:rsid w:val="588743D1"/>
    <w:rsid w:val="5887701A"/>
    <w:rsid w:val="588E44CE"/>
    <w:rsid w:val="5898534D"/>
    <w:rsid w:val="58A24D38"/>
    <w:rsid w:val="58F955BD"/>
    <w:rsid w:val="5945411C"/>
    <w:rsid w:val="59C0439F"/>
    <w:rsid w:val="59C54A2F"/>
    <w:rsid w:val="59C90EDB"/>
    <w:rsid w:val="59E13D3C"/>
    <w:rsid w:val="59FA0DC7"/>
    <w:rsid w:val="5A2A4C8A"/>
    <w:rsid w:val="5A9B34CB"/>
    <w:rsid w:val="5ABE2233"/>
    <w:rsid w:val="5AD574A7"/>
    <w:rsid w:val="5AE54D5D"/>
    <w:rsid w:val="5B327649"/>
    <w:rsid w:val="5B4A2E72"/>
    <w:rsid w:val="5BDF5D95"/>
    <w:rsid w:val="5BE10B1D"/>
    <w:rsid w:val="5BE70AC5"/>
    <w:rsid w:val="5BFE7528"/>
    <w:rsid w:val="5C5E224C"/>
    <w:rsid w:val="5C6C0872"/>
    <w:rsid w:val="5C801803"/>
    <w:rsid w:val="5CF713FA"/>
    <w:rsid w:val="5D2C58CF"/>
    <w:rsid w:val="5D3C5AD3"/>
    <w:rsid w:val="5D4D4F8A"/>
    <w:rsid w:val="5D5D20E8"/>
    <w:rsid w:val="5D7F0889"/>
    <w:rsid w:val="5E2467F1"/>
    <w:rsid w:val="5E677B6C"/>
    <w:rsid w:val="5E8E1A69"/>
    <w:rsid w:val="5EAB61E5"/>
    <w:rsid w:val="5EBB7E73"/>
    <w:rsid w:val="5EF41A27"/>
    <w:rsid w:val="5EFC662A"/>
    <w:rsid w:val="5F1A2B43"/>
    <w:rsid w:val="5F5D4BFA"/>
    <w:rsid w:val="5F773337"/>
    <w:rsid w:val="5F867FE8"/>
    <w:rsid w:val="5FB837BB"/>
    <w:rsid w:val="601C3BEE"/>
    <w:rsid w:val="60512E1F"/>
    <w:rsid w:val="60CC405A"/>
    <w:rsid w:val="60E50F15"/>
    <w:rsid w:val="60ED4611"/>
    <w:rsid w:val="60FA4DF7"/>
    <w:rsid w:val="61037ACF"/>
    <w:rsid w:val="61286E0E"/>
    <w:rsid w:val="61655CAD"/>
    <w:rsid w:val="61DE4A36"/>
    <w:rsid w:val="61E215D8"/>
    <w:rsid w:val="621B3775"/>
    <w:rsid w:val="62364782"/>
    <w:rsid w:val="6251544D"/>
    <w:rsid w:val="62541BF9"/>
    <w:rsid w:val="625707D1"/>
    <w:rsid w:val="627D4725"/>
    <w:rsid w:val="62892AD9"/>
    <w:rsid w:val="629E5E3A"/>
    <w:rsid w:val="62C26FB9"/>
    <w:rsid w:val="62F61C98"/>
    <w:rsid w:val="632B74E9"/>
    <w:rsid w:val="63616CD1"/>
    <w:rsid w:val="637B31C5"/>
    <w:rsid w:val="6394356A"/>
    <w:rsid w:val="63A64046"/>
    <w:rsid w:val="63C61B2C"/>
    <w:rsid w:val="63D40BE9"/>
    <w:rsid w:val="64102431"/>
    <w:rsid w:val="64175CC0"/>
    <w:rsid w:val="6476292C"/>
    <w:rsid w:val="64840683"/>
    <w:rsid w:val="64A5243A"/>
    <w:rsid w:val="64B156B8"/>
    <w:rsid w:val="64E66F8D"/>
    <w:rsid w:val="64F531DE"/>
    <w:rsid w:val="65373578"/>
    <w:rsid w:val="6540051D"/>
    <w:rsid w:val="65733FF2"/>
    <w:rsid w:val="659E6E32"/>
    <w:rsid w:val="65B35167"/>
    <w:rsid w:val="66026859"/>
    <w:rsid w:val="66577E40"/>
    <w:rsid w:val="66EB3C4A"/>
    <w:rsid w:val="66F304B7"/>
    <w:rsid w:val="671F124A"/>
    <w:rsid w:val="67587769"/>
    <w:rsid w:val="6760353A"/>
    <w:rsid w:val="676311CD"/>
    <w:rsid w:val="67761F19"/>
    <w:rsid w:val="677A33C6"/>
    <w:rsid w:val="67871FBB"/>
    <w:rsid w:val="67BB151A"/>
    <w:rsid w:val="67DB7004"/>
    <w:rsid w:val="680A4AA1"/>
    <w:rsid w:val="681F6961"/>
    <w:rsid w:val="68610A2F"/>
    <w:rsid w:val="68805514"/>
    <w:rsid w:val="68EE67F9"/>
    <w:rsid w:val="6916570E"/>
    <w:rsid w:val="69316E2F"/>
    <w:rsid w:val="694B0147"/>
    <w:rsid w:val="694E2071"/>
    <w:rsid w:val="69545ED0"/>
    <w:rsid w:val="69766163"/>
    <w:rsid w:val="697A3B33"/>
    <w:rsid w:val="69A633B9"/>
    <w:rsid w:val="69D44760"/>
    <w:rsid w:val="6A3607A4"/>
    <w:rsid w:val="6A520EC7"/>
    <w:rsid w:val="6A7779B5"/>
    <w:rsid w:val="6A7A48B2"/>
    <w:rsid w:val="6A82729C"/>
    <w:rsid w:val="6AA44299"/>
    <w:rsid w:val="6AB42A27"/>
    <w:rsid w:val="6ABA02E9"/>
    <w:rsid w:val="6AF24225"/>
    <w:rsid w:val="6AF87E20"/>
    <w:rsid w:val="6B2A4B68"/>
    <w:rsid w:val="6B322639"/>
    <w:rsid w:val="6B427759"/>
    <w:rsid w:val="6BC8345D"/>
    <w:rsid w:val="6BD66460"/>
    <w:rsid w:val="6BF16973"/>
    <w:rsid w:val="6C494E28"/>
    <w:rsid w:val="6C636C38"/>
    <w:rsid w:val="6C70751B"/>
    <w:rsid w:val="6C761B1A"/>
    <w:rsid w:val="6C783074"/>
    <w:rsid w:val="6C8154F1"/>
    <w:rsid w:val="6C8F25D6"/>
    <w:rsid w:val="6C9D0B3F"/>
    <w:rsid w:val="6CA361E3"/>
    <w:rsid w:val="6CAB433D"/>
    <w:rsid w:val="6D1E5921"/>
    <w:rsid w:val="6D2C5AEE"/>
    <w:rsid w:val="6D323B6A"/>
    <w:rsid w:val="6D371CAF"/>
    <w:rsid w:val="6D835A44"/>
    <w:rsid w:val="6D8562E4"/>
    <w:rsid w:val="6DB24A6B"/>
    <w:rsid w:val="6DB34098"/>
    <w:rsid w:val="6DB545B6"/>
    <w:rsid w:val="6DBC4646"/>
    <w:rsid w:val="6DE02FB4"/>
    <w:rsid w:val="6E064B16"/>
    <w:rsid w:val="6E514CED"/>
    <w:rsid w:val="6E7C3D2A"/>
    <w:rsid w:val="6E802E71"/>
    <w:rsid w:val="6EB563D5"/>
    <w:rsid w:val="6EBD1377"/>
    <w:rsid w:val="6EC5072D"/>
    <w:rsid w:val="6ED92677"/>
    <w:rsid w:val="6F225983"/>
    <w:rsid w:val="6F265009"/>
    <w:rsid w:val="6F4E61F4"/>
    <w:rsid w:val="6F94571A"/>
    <w:rsid w:val="6FDA63E9"/>
    <w:rsid w:val="6FF16150"/>
    <w:rsid w:val="6FFC5590"/>
    <w:rsid w:val="70375FDD"/>
    <w:rsid w:val="706D1DD0"/>
    <w:rsid w:val="70856B87"/>
    <w:rsid w:val="709D30CD"/>
    <w:rsid w:val="70D527EE"/>
    <w:rsid w:val="70E41711"/>
    <w:rsid w:val="70FE04C4"/>
    <w:rsid w:val="711F4406"/>
    <w:rsid w:val="715B5300"/>
    <w:rsid w:val="7163613D"/>
    <w:rsid w:val="71824544"/>
    <w:rsid w:val="71926986"/>
    <w:rsid w:val="71B202C3"/>
    <w:rsid w:val="71D27F8A"/>
    <w:rsid w:val="71EC42E8"/>
    <w:rsid w:val="71EC7887"/>
    <w:rsid w:val="71FB1346"/>
    <w:rsid w:val="72030575"/>
    <w:rsid w:val="7220073E"/>
    <w:rsid w:val="72553024"/>
    <w:rsid w:val="725730F7"/>
    <w:rsid w:val="7273126D"/>
    <w:rsid w:val="728379C5"/>
    <w:rsid w:val="73122968"/>
    <w:rsid w:val="731F5D5E"/>
    <w:rsid w:val="735F6D3B"/>
    <w:rsid w:val="73660EF4"/>
    <w:rsid w:val="73686680"/>
    <w:rsid w:val="73C51AD5"/>
    <w:rsid w:val="741E793C"/>
    <w:rsid w:val="745037BC"/>
    <w:rsid w:val="745E3944"/>
    <w:rsid w:val="747D719F"/>
    <w:rsid w:val="74CB7637"/>
    <w:rsid w:val="75375BD2"/>
    <w:rsid w:val="75452D57"/>
    <w:rsid w:val="75575F1C"/>
    <w:rsid w:val="75614B69"/>
    <w:rsid w:val="75A1561A"/>
    <w:rsid w:val="762322A2"/>
    <w:rsid w:val="7635099D"/>
    <w:rsid w:val="77394A65"/>
    <w:rsid w:val="774E2B2B"/>
    <w:rsid w:val="776A33C7"/>
    <w:rsid w:val="77762421"/>
    <w:rsid w:val="77B53160"/>
    <w:rsid w:val="77B56B1F"/>
    <w:rsid w:val="780F09F4"/>
    <w:rsid w:val="78256EFB"/>
    <w:rsid w:val="78A70F68"/>
    <w:rsid w:val="78A90480"/>
    <w:rsid w:val="79856480"/>
    <w:rsid w:val="7A364017"/>
    <w:rsid w:val="7A747570"/>
    <w:rsid w:val="7A8265E1"/>
    <w:rsid w:val="7A8D5546"/>
    <w:rsid w:val="7AAC5E51"/>
    <w:rsid w:val="7AB937ED"/>
    <w:rsid w:val="7AC00858"/>
    <w:rsid w:val="7AC52A57"/>
    <w:rsid w:val="7AEE2C43"/>
    <w:rsid w:val="7AFE342A"/>
    <w:rsid w:val="7B686D42"/>
    <w:rsid w:val="7B6B6F24"/>
    <w:rsid w:val="7B7610C6"/>
    <w:rsid w:val="7B841746"/>
    <w:rsid w:val="7BC67A73"/>
    <w:rsid w:val="7C394228"/>
    <w:rsid w:val="7C6C5AC7"/>
    <w:rsid w:val="7C7F2F20"/>
    <w:rsid w:val="7CB37759"/>
    <w:rsid w:val="7CC11081"/>
    <w:rsid w:val="7CC6544B"/>
    <w:rsid w:val="7CF41989"/>
    <w:rsid w:val="7D0033BD"/>
    <w:rsid w:val="7D0239FF"/>
    <w:rsid w:val="7D0370FF"/>
    <w:rsid w:val="7D5E40CD"/>
    <w:rsid w:val="7D676C50"/>
    <w:rsid w:val="7DCD56F2"/>
    <w:rsid w:val="7DD32D14"/>
    <w:rsid w:val="7E34548C"/>
    <w:rsid w:val="7EC879CB"/>
    <w:rsid w:val="7EEF30E9"/>
    <w:rsid w:val="7F001CE7"/>
    <w:rsid w:val="7F0237FC"/>
    <w:rsid w:val="7F183151"/>
    <w:rsid w:val="7F6F7D38"/>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iPriority="99"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adjustRightInd w:val="0"/>
      <w:snapToGrid w:val="0"/>
      <w:spacing w:before="156" w:line="360" w:lineRule="auto"/>
      <w:outlineLvl w:val="1"/>
    </w:pPr>
    <w:rPr>
      <w:b/>
      <w:sz w:val="24"/>
    </w:rPr>
  </w:style>
  <w:style w:type="paragraph" w:styleId="4">
    <w:name w:val="heading 3"/>
    <w:basedOn w:val="1"/>
    <w:next w:val="1"/>
    <w:link w:val="53"/>
    <w:qFormat/>
    <w:locked/>
    <w:uiPriority w:val="0"/>
    <w:pPr>
      <w:keepNext/>
      <w:keepLines/>
      <w:spacing w:before="93" w:beforeLines="30" w:after="93" w:afterLines="30"/>
      <w:ind w:firstLine="100" w:firstLineChars="100"/>
      <w:outlineLvl w:val="2"/>
    </w:pPr>
    <w:rPr>
      <w:rFonts w:eastAsia="楷体_GB2312"/>
      <w:b/>
      <w:bCs/>
      <w:sz w:val="28"/>
      <w:szCs w:val="32"/>
    </w:rPr>
  </w:style>
  <w:style w:type="paragraph" w:styleId="5">
    <w:name w:val="heading 4"/>
    <w:basedOn w:val="1"/>
    <w:next w:val="1"/>
    <w:qFormat/>
    <w:locked/>
    <w:uiPriority w:val="0"/>
    <w:pPr>
      <w:keepNext/>
      <w:keepLines/>
      <w:spacing w:line="360" w:lineRule="auto"/>
      <w:outlineLvl w:val="3"/>
    </w:pPr>
    <w:rPr>
      <w:b/>
      <w:sz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locked/>
    <w:uiPriority w:val="0"/>
    <w:pPr>
      <w:ind w:firstLine="420"/>
    </w:pPr>
    <w:rPr>
      <w:rFonts w:ascii="Calibri" w:hAnsi="Calibri"/>
      <w:sz w:val="24"/>
      <w:szCs w:val="22"/>
    </w:rPr>
  </w:style>
  <w:style w:type="paragraph" w:styleId="7">
    <w:name w:val="toa heading"/>
    <w:basedOn w:val="1"/>
    <w:next w:val="1"/>
    <w:unhideWhenUsed/>
    <w:qFormat/>
    <w:locked/>
    <w:uiPriority w:val="99"/>
    <w:pPr>
      <w:spacing w:before="120"/>
    </w:pPr>
    <w:rPr>
      <w:rFonts w:ascii="Arial" w:hAnsi="Arial" w:cs="Arial"/>
    </w:rPr>
  </w:style>
  <w:style w:type="paragraph" w:styleId="8">
    <w:name w:val="annotation text"/>
    <w:basedOn w:val="1"/>
    <w:link w:val="54"/>
    <w:semiHidden/>
    <w:qFormat/>
    <w:uiPriority w:val="0"/>
    <w:pPr>
      <w:jc w:val="left"/>
    </w:pPr>
    <w:rPr>
      <w:kern w:val="0"/>
      <w:sz w:val="24"/>
      <w:szCs w:val="20"/>
    </w:rPr>
  </w:style>
  <w:style w:type="paragraph" w:styleId="9">
    <w:name w:val="Salutation"/>
    <w:basedOn w:val="1"/>
    <w:next w:val="1"/>
    <w:qFormat/>
    <w:locked/>
    <w:uiPriority w:val="0"/>
  </w:style>
  <w:style w:type="paragraph" w:styleId="10">
    <w:name w:val="Body Text"/>
    <w:basedOn w:val="1"/>
    <w:next w:val="1"/>
    <w:link w:val="55"/>
    <w:qFormat/>
    <w:uiPriority w:val="0"/>
    <w:pPr>
      <w:widowControl/>
      <w:snapToGrid w:val="0"/>
      <w:spacing w:before="60" w:after="160" w:line="259" w:lineRule="auto"/>
      <w:ind w:right="113"/>
    </w:pPr>
    <w:rPr>
      <w:kern w:val="0"/>
      <w:sz w:val="18"/>
      <w:szCs w:val="20"/>
    </w:rPr>
  </w:style>
  <w:style w:type="paragraph" w:styleId="11">
    <w:name w:val="Body Text Indent"/>
    <w:basedOn w:val="1"/>
    <w:link w:val="56"/>
    <w:qFormat/>
    <w:uiPriority w:val="0"/>
    <w:pPr>
      <w:spacing w:after="120"/>
      <w:ind w:left="420" w:leftChars="200"/>
    </w:pPr>
    <w:rPr>
      <w:kern w:val="0"/>
      <w:sz w:val="24"/>
      <w:szCs w:val="20"/>
    </w:rPr>
  </w:style>
  <w:style w:type="paragraph" w:styleId="12">
    <w:name w:val="List 2"/>
    <w:basedOn w:val="1"/>
    <w:qFormat/>
    <w:locked/>
    <w:uiPriority w:val="0"/>
    <w:pPr>
      <w:ind w:left="100" w:leftChars="200" w:hanging="200" w:hangingChars="200"/>
    </w:pPr>
  </w:style>
  <w:style w:type="paragraph" w:styleId="13">
    <w:name w:val="Block Text"/>
    <w:basedOn w:val="1"/>
    <w:qFormat/>
    <w:locked/>
    <w:uiPriority w:val="0"/>
  </w:style>
  <w:style w:type="paragraph" w:styleId="14">
    <w:name w:val="Plain Text"/>
    <w:basedOn w:val="1"/>
    <w:next w:val="1"/>
    <w:link w:val="57"/>
    <w:qFormat/>
    <w:locked/>
    <w:uiPriority w:val="0"/>
    <w:rPr>
      <w:rFonts w:ascii="宋体" w:hAnsi="Courier New"/>
      <w:szCs w:val="21"/>
    </w:rPr>
  </w:style>
  <w:style w:type="paragraph" w:styleId="15">
    <w:name w:val="Date"/>
    <w:basedOn w:val="1"/>
    <w:next w:val="1"/>
    <w:link w:val="58"/>
    <w:qFormat/>
    <w:uiPriority w:val="0"/>
    <w:pPr>
      <w:ind w:left="100" w:leftChars="2500"/>
    </w:pPr>
    <w:rPr>
      <w:kern w:val="0"/>
      <w:sz w:val="24"/>
      <w:szCs w:val="20"/>
    </w:rPr>
  </w:style>
  <w:style w:type="paragraph" w:styleId="16">
    <w:name w:val="Body Text Indent 2"/>
    <w:basedOn w:val="1"/>
    <w:qFormat/>
    <w:locked/>
    <w:uiPriority w:val="0"/>
    <w:pPr>
      <w:ind w:firstLine="567"/>
    </w:pPr>
  </w:style>
  <w:style w:type="paragraph" w:styleId="17">
    <w:name w:val="Balloon Text"/>
    <w:basedOn w:val="1"/>
    <w:link w:val="59"/>
    <w:semiHidden/>
    <w:qFormat/>
    <w:uiPriority w:val="0"/>
    <w:rPr>
      <w:kern w:val="0"/>
      <w:sz w:val="18"/>
      <w:szCs w:val="20"/>
    </w:rPr>
  </w:style>
  <w:style w:type="paragraph" w:styleId="18">
    <w:name w:val="footer"/>
    <w:basedOn w:val="1"/>
    <w:link w:val="60"/>
    <w:qFormat/>
    <w:uiPriority w:val="99"/>
    <w:pPr>
      <w:tabs>
        <w:tab w:val="center" w:pos="4153"/>
        <w:tab w:val="right" w:pos="8306"/>
      </w:tabs>
      <w:snapToGrid w:val="0"/>
      <w:jc w:val="left"/>
    </w:pPr>
    <w:rPr>
      <w:kern w:val="0"/>
      <w:sz w:val="18"/>
      <w:szCs w:val="20"/>
    </w:rPr>
  </w:style>
  <w:style w:type="paragraph" w:styleId="19">
    <w:name w:val="header"/>
    <w:basedOn w:val="1"/>
    <w:next w:val="20"/>
    <w:link w:val="61"/>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index heading"/>
    <w:basedOn w:val="1"/>
    <w:next w:val="21"/>
    <w:unhideWhenUsed/>
    <w:qFormat/>
    <w:locked/>
    <w:uiPriority w:val="0"/>
    <w:rPr>
      <w:rFonts w:ascii="Arial" w:hAnsi="Arial"/>
      <w:b/>
    </w:rPr>
  </w:style>
  <w:style w:type="paragraph" w:styleId="21">
    <w:name w:val="index 1"/>
    <w:basedOn w:val="1"/>
    <w:next w:val="1"/>
    <w:unhideWhenUsed/>
    <w:qFormat/>
    <w:locked/>
    <w:uiPriority w:val="0"/>
    <w:rPr>
      <w:kern w:val="28"/>
      <w:sz w:val="24"/>
    </w:rPr>
  </w:style>
  <w:style w:type="paragraph" w:styleId="22">
    <w:name w:val="toc 1"/>
    <w:basedOn w:val="1"/>
    <w:next w:val="1"/>
    <w:qFormat/>
    <w:locked/>
    <w:uiPriority w:val="0"/>
  </w:style>
  <w:style w:type="paragraph" w:styleId="23">
    <w:name w:val="Body Text 2"/>
    <w:basedOn w:val="1"/>
    <w:qFormat/>
    <w:locked/>
    <w:uiPriority w:val="0"/>
    <w:pPr>
      <w:spacing w:after="120" w:afterLines="0" w:line="480" w:lineRule="auto"/>
    </w:pPr>
  </w:style>
  <w:style w:type="paragraph" w:styleId="24">
    <w:name w:val="Normal (Web)"/>
    <w:basedOn w:val="1"/>
    <w:link w:val="62"/>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8"/>
    <w:next w:val="8"/>
    <w:link w:val="63"/>
    <w:semiHidden/>
    <w:qFormat/>
    <w:uiPriority w:val="0"/>
    <w:rPr>
      <w:b/>
    </w:rPr>
  </w:style>
  <w:style w:type="paragraph" w:styleId="26">
    <w:name w:val="Body Text First Indent"/>
    <w:basedOn w:val="10"/>
    <w:next w:val="1"/>
    <w:qFormat/>
    <w:locked/>
    <w:uiPriority w:val="0"/>
    <w:pPr>
      <w:ind w:firstLine="420" w:firstLineChars="100"/>
    </w:pPr>
    <w:rPr>
      <w:sz w:val="24"/>
    </w:rPr>
  </w:style>
  <w:style w:type="paragraph" w:styleId="27">
    <w:name w:val="Body Text First Indent 2"/>
    <w:basedOn w:val="11"/>
    <w:next w:val="1"/>
    <w:link w:val="64"/>
    <w:unhideWhenUsed/>
    <w:qFormat/>
    <w:locked/>
    <w:uiPriority w:val="0"/>
    <w:pPr>
      <w:ind w:firstLine="420" w:firstLineChars="200"/>
    </w:p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qFormat/>
    <w:locked/>
    <w:uiPriority w:val="0"/>
  </w:style>
  <w:style w:type="character" w:styleId="32">
    <w:name w:val="FollowedHyperlink"/>
    <w:basedOn w:val="30"/>
    <w:qFormat/>
    <w:locked/>
    <w:uiPriority w:val="0"/>
    <w:rPr>
      <w:color w:val="595758"/>
      <w:u w:val="none"/>
    </w:rPr>
  </w:style>
  <w:style w:type="character" w:styleId="33">
    <w:name w:val="Hyperlink"/>
    <w:basedOn w:val="30"/>
    <w:qFormat/>
    <w:locked/>
    <w:uiPriority w:val="0"/>
    <w:rPr>
      <w:color w:val="0000FF"/>
      <w:u w:val="single"/>
    </w:rPr>
  </w:style>
  <w:style w:type="character" w:styleId="34">
    <w:name w:val="annotation reference"/>
    <w:semiHidden/>
    <w:qFormat/>
    <w:uiPriority w:val="0"/>
    <w:rPr>
      <w:sz w:val="21"/>
    </w:rPr>
  </w:style>
  <w:style w:type="paragraph" w:customStyle="1" w:styleId="35">
    <w:name w:val="样式1"/>
    <w:basedOn w:val="20"/>
    <w:next w:val="1"/>
    <w:qFormat/>
    <w:uiPriority w:val="0"/>
    <w:pPr>
      <w:spacing w:line="500" w:lineRule="exact"/>
      <w:ind w:firstLine="480" w:firstLineChars="200"/>
      <w:jc w:val="left"/>
    </w:pPr>
    <w:rPr>
      <w:bCs/>
      <w:color w:val="000000"/>
      <w:sz w:val="24"/>
    </w:rPr>
  </w:style>
  <w:style w:type="paragraph" w:customStyle="1" w:styleId="36">
    <w:name w:val="表头"/>
    <w:basedOn w:val="37"/>
    <w:next w:val="1"/>
    <w:link w:val="52"/>
    <w:qFormat/>
    <w:uiPriority w:val="0"/>
    <w:pPr>
      <w:spacing w:line="240" w:lineRule="auto"/>
      <w:ind w:firstLine="0" w:firstLineChars="0"/>
      <w:jc w:val="center"/>
    </w:pPr>
    <w:rPr>
      <w:rFonts w:ascii="宋体" w:hAnsi="宋体" w:eastAsia="宋体"/>
      <w:b/>
      <w:sz w:val="21"/>
      <w:szCs w:val="21"/>
    </w:rPr>
  </w:style>
  <w:style w:type="paragraph" w:customStyle="1" w:styleId="37">
    <w:name w:val="T正文"/>
    <w:qFormat/>
    <w:uiPriority w:val="0"/>
    <w:pPr>
      <w:widowControl w:val="0"/>
      <w:adjustRightInd w:val="0"/>
      <w:snapToGrid w:val="0"/>
      <w:spacing w:line="360" w:lineRule="auto"/>
      <w:ind w:firstLine="200" w:firstLineChars="200"/>
      <w:jc w:val="both"/>
    </w:pPr>
    <w:rPr>
      <w:rFonts w:ascii="Times New Roman" w:hAnsi="Times New Roman" w:eastAsia="FangSong_GB2312" w:cs="Times New Roman"/>
      <w:sz w:val="28"/>
      <w:lang w:val="en-US" w:eastAsia="zh-CN" w:bidi="ar-SA"/>
    </w:rPr>
  </w:style>
  <w:style w:type="paragraph" w:customStyle="1" w:styleId="38">
    <w:name w:val="表格"/>
    <w:basedOn w:val="6"/>
    <w:next w:val="1"/>
    <w:link w:val="72"/>
    <w:qFormat/>
    <w:uiPriority w:val="0"/>
    <w:pPr>
      <w:adjustRightInd w:val="0"/>
      <w:snapToGrid w:val="0"/>
      <w:spacing w:beforeLines="10" w:afterLines="10" w:line="259" w:lineRule="auto"/>
      <w:jc w:val="center"/>
    </w:pPr>
    <w:rPr>
      <w:rFonts w:ascii="宋体"/>
      <w:kern w:val="0"/>
      <w:szCs w:val="20"/>
    </w:rPr>
  </w:style>
  <w:style w:type="paragraph" w:customStyle="1" w:styleId="39">
    <w:name w:val="3 xt-表题-报告书正文"/>
    <w:basedOn w:val="1"/>
    <w:next w:val="40"/>
    <w:qFormat/>
    <w:uiPriority w:val="0"/>
    <w:pPr>
      <w:numPr>
        <w:ilvl w:val="3"/>
        <w:numId w:val="1"/>
      </w:numPr>
      <w:ind w:left="6237"/>
    </w:pPr>
  </w:style>
  <w:style w:type="paragraph" w:customStyle="1" w:styleId="40">
    <w:name w:val="2 xt-表格文字-报告书"/>
    <w:qFormat/>
    <w:uiPriority w:val="0"/>
    <w:pPr>
      <w:adjustRightInd w:val="0"/>
      <w:snapToGrid w:val="0"/>
      <w:jc w:val="center"/>
    </w:pPr>
    <w:rPr>
      <w:rFonts w:ascii="Times New Roman" w:hAnsi="Times New Roman" w:eastAsia="宋体" w:cstheme="minorBidi"/>
      <w:snapToGrid w:val="0"/>
      <w:sz w:val="21"/>
      <w:szCs w:val="24"/>
      <w:lang w:val="en-US" w:eastAsia="zh-CN" w:bidi="ar-SA"/>
    </w:rPr>
  </w:style>
  <w:style w:type="paragraph" w:customStyle="1" w:styleId="41">
    <w:name w:val="4  xt-图题-报告书正文"/>
    <w:basedOn w:val="1"/>
    <w:next w:val="42"/>
    <w:qFormat/>
    <w:uiPriority w:val="0"/>
    <w:pPr>
      <w:numPr>
        <w:ilvl w:val="5"/>
        <w:numId w:val="1"/>
      </w:numPr>
    </w:pPr>
  </w:style>
  <w:style w:type="paragraph" w:customStyle="1" w:styleId="42">
    <w:name w:val="1  xt-正文-报告书"/>
    <w:qFormat/>
    <w:uiPriority w:val="0"/>
    <w:pPr>
      <w:widowControl w:val="0"/>
      <w:adjustRightInd w:val="0"/>
      <w:snapToGrid w:val="0"/>
      <w:spacing w:line="360" w:lineRule="auto"/>
      <w:ind w:firstLine="200" w:firstLineChars="200"/>
      <w:jc w:val="both"/>
    </w:pPr>
    <w:rPr>
      <w:rFonts w:ascii="Times New Roman" w:hAnsi="Times New Roman" w:eastAsia="宋体" w:cs="Times New Roman"/>
      <w:snapToGrid w:val="0"/>
      <w:sz w:val="24"/>
      <w:szCs w:val="21"/>
      <w:lang w:val="en-GB" w:eastAsia="zh-CN" w:bidi="ar-SA"/>
    </w:rPr>
  </w:style>
  <w:style w:type="paragraph" w:customStyle="1" w:styleId="43">
    <w:name w:val="表格内容"/>
    <w:basedOn w:val="1"/>
    <w:qFormat/>
    <w:uiPriority w:val="0"/>
    <w:pPr>
      <w:jc w:val="center"/>
    </w:pPr>
    <w:rPr>
      <w:szCs w:val="22"/>
    </w:rPr>
  </w:style>
  <w:style w:type="character" w:customStyle="1" w:styleId="44">
    <w:name w:val="标题 3 Char"/>
    <w:qFormat/>
    <w:uiPriority w:val="0"/>
  </w:style>
  <w:style w:type="paragraph" w:customStyle="1" w:styleId="45">
    <w:name w:val="表格文字"/>
    <w:basedOn w:val="36"/>
    <w:next w:val="1"/>
    <w:qFormat/>
    <w:uiPriority w:val="0"/>
    <w:pPr>
      <w:spacing w:line="240" w:lineRule="auto"/>
      <w:ind w:firstLine="0" w:firstLineChars="0"/>
      <w:jc w:val="center"/>
    </w:pPr>
    <w:rPr>
      <w:rFonts w:ascii="宋体" w:hAnsi="宋体" w:eastAsia="宋体"/>
      <w:sz w:val="21"/>
    </w:rPr>
  </w:style>
  <w:style w:type="paragraph" w:customStyle="1" w:styleId="46">
    <w:name w:val="表标题"/>
    <w:basedOn w:val="1"/>
    <w:next w:val="1"/>
    <w:qFormat/>
    <w:uiPriority w:val="0"/>
    <w:pPr>
      <w:adjustRightInd w:val="0"/>
      <w:snapToGrid w:val="0"/>
      <w:spacing w:line="360" w:lineRule="auto"/>
      <w:jc w:val="center"/>
      <w:textAlignment w:val="baseline"/>
    </w:pPr>
    <w:rPr>
      <w:b/>
      <w:bCs/>
      <w:kern w:val="0"/>
    </w:rPr>
  </w:style>
  <w:style w:type="paragraph" w:customStyle="1" w:styleId="47">
    <w:name w:val="Default"/>
    <w:basedOn w:val="48"/>
    <w:qFormat/>
    <w:uiPriority w:val="0"/>
    <w:pPr>
      <w:autoSpaceDE w:val="0"/>
      <w:autoSpaceDN w:val="0"/>
      <w:adjustRightInd w:val="0"/>
    </w:pPr>
    <w:rPr>
      <w:rFonts w:hint="eastAsia" w:hAnsi="Times New Roman"/>
      <w:color w:val="000000"/>
      <w:sz w:val="24"/>
      <w:szCs w:val="24"/>
    </w:rPr>
  </w:style>
  <w:style w:type="paragraph" w:customStyle="1" w:styleId="48">
    <w:name w:val="标题2"/>
    <w:basedOn w:val="1"/>
    <w:next w:val="1"/>
    <w:qFormat/>
    <w:uiPriority w:val="0"/>
    <w:pPr>
      <w:snapToGrid w:val="0"/>
      <w:spacing w:line="590" w:lineRule="atLeast"/>
      <w:jc w:val="center"/>
    </w:pPr>
    <w:rPr>
      <w:rFonts w:eastAsia="方正楷体_GBK"/>
      <w:snapToGrid/>
      <w:sz w:val="32"/>
    </w:rPr>
  </w:style>
  <w:style w:type="paragraph" w:customStyle="1" w:styleId="49">
    <w:name w:val="样式35"/>
    <w:basedOn w:val="1"/>
    <w:qFormat/>
    <w:uiPriority w:val="0"/>
    <w:pPr>
      <w:adjustRightInd w:val="0"/>
      <w:spacing w:line="312" w:lineRule="auto"/>
      <w:ind w:firstLine="567"/>
    </w:pPr>
    <w:rPr>
      <w:sz w:val="28"/>
    </w:rPr>
  </w:style>
  <w:style w:type="paragraph" w:customStyle="1" w:styleId="50">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51">
    <w:name w:val="纯文本1"/>
    <w:basedOn w:val="1"/>
    <w:qFormat/>
    <w:uiPriority w:val="0"/>
    <w:pPr>
      <w:textAlignment w:val="baseline"/>
    </w:pPr>
    <w:rPr>
      <w:rFonts w:ascii="宋体" w:hAnsi="Courier New"/>
      <w:szCs w:val="20"/>
    </w:rPr>
  </w:style>
  <w:style w:type="character" w:customStyle="1" w:styleId="52">
    <w:name w:val="表头 Char"/>
    <w:link w:val="36"/>
    <w:qFormat/>
    <w:uiPriority w:val="99"/>
    <w:rPr>
      <w:rFonts w:ascii="宋体" w:hAnsi="宋体" w:eastAsia="宋体"/>
      <w:b/>
      <w:sz w:val="21"/>
      <w:szCs w:val="21"/>
    </w:rPr>
  </w:style>
  <w:style w:type="character" w:customStyle="1" w:styleId="53">
    <w:name w:val="标题 3 Char1"/>
    <w:basedOn w:val="30"/>
    <w:link w:val="4"/>
    <w:qFormat/>
    <w:uiPriority w:val="0"/>
    <w:rPr>
      <w:rFonts w:hint="eastAsia" w:ascii="楷体_GB2312" w:eastAsia="楷体_GB2312" w:cs="楷体_GB2312"/>
      <w:b/>
      <w:bCs/>
      <w:kern w:val="2"/>
      <w:sz w:val="28"/>
      <w:szCs w:val="32"/>
    </w:rPr>
  </w:style>
  <w:style w:type="character" w:customStyle="1" w:styleId="54">
    <w:name w:val="批注文字 Char"/>
    <w:link w:val="8"/>
    <w:qFormat/>
    <w:locked/>
    <w:uiPriority w:val="0"/>
    <w:rPr>
      <w:rFonts w:ascii="Times New Roman" w:hAnsi="Times New Roman" w:eastAsia="宋体"/>
      <w:sz w:val="24"/>
    </w:rPr>
  </w:style>
  <w:style w:type="character" w:customStyle="1" w:styleId="55">
    <w:name w:val="正文文本 Char"/>
    <w:link w:val="10"/>
    <w:qFormat/>
    <w:locked/>
    <w:uiPriority w:val="0"/>
    <w:rPr>
      <w:sz w:val="18"/>
    </w:rPr>
  </w:style>
  <w:style w:type="character" w:customStyle="1" w:styleId="56">
    <w:name w:val="正文文本缩进 Char"/>
    <w:link w:val="11"/>
    <w:semiHidden/>
    <w:qFormat/>
    <w:locked/>
    <w:uiPriority w:val="0"/>
    <w:rPr>
      <w:rFonts w:ascii="Times New Roman" w:hAnsi="Times New Roman" w:eastAsia="宋体"/>
      <w:sz w:val="24"/>
    </w:rPr>
  </w:style>
  <w:style w:type="character" w:customStyle="1" w:styleId="57">
    <w:name w:val="纯文本 Char"/>
    <w:basedOn w:val="30"/>
    <w:link w:val="14"/>
    <w:qFormat/>
    <w:uiPriority w:val="0"/>
    <w:rPr>
      <w:rFonts w:hint="eastAsia" w:ascii="宋体" w:hAnsi="Courier New" w:eastAsia="宋体" w:cs="Courier New"/>
      <w:kern w:val="2"/>
      <w:sz w:val="21"/>
      <w:szCs w:val="21"/>
    </w:rPr>
  </w:style>
  <w:style w:type="character" w:customStyle="1" w:styleId="58">
    <w:name w:val="日期 Char"/>
    <w:link w:val="15"/>
    <w:qFormat/>
    <w:locked/>
    <w:uiPriority w:val="0"/>
    <w:rPr>
      <w:rFonts w:ascii="Times New Roman" w:hAnsi="Times New Roman" w:eastAsia="宋体"/>
      <w:sz w:val="24"/>
    </w:rPr>
  </w:style>
  <w:style w:type="character" w:customStyle="1" w:styleId="59">
    <w:name w:val="批注框文本 Char"/>
    <w:link w:val="17"/>
    <w:semiHidden/>
    <w:qFormat/>
    <w:locked/>
    <w:uiPriority w:val="0"/>
    <w:rPr>
      <w:rFonts w:ascii="Times New Roman" w:hAnsi="Times New Roman" w:eastAsia="宋体"/>
      <w:sz w:val="18"/>
    </w:rPr>
  </w:style>
  <w:style w:type="character" w:customStyle="1" w:styleId="60">
    <w:name w:val="页脚 Char"/>
    <w:link w:val="18"/>
    <w:qFormat/>
    <w:locked/>
    <w:uiPriority w:val="99"/>
    <w:rPr>
      <w:sz w:val="18"/>
    </w:rPr>
  </w:style>
  <w:style w:type="character" w:customStyle="1" w:styleId="61">
    <w:name w:val="页眉 Char"/>
    <w:link w:val="19"/>
    <w:qFormat/>
    <w:locked/>
    <w:uiPriority w:val="0"/>
    <w:rPr>
      <w:sz w:val="18"/>
    </w:rPr>
  </w:style>
  <w:style w:type="character" w:customStyle="1" w:styleId="62">
    <w:name w:val="普通(网站) Char"/>
    <w:link w:val="24"/>
    <w:qFormat/>
    <w:locked/>
    <w:uiPriority w:val="0"/>
    <w:rPr>
      <w:rFonts w:ascii="宋体" w:hAnsi="宋体" w:eastAsia="宋体"/>
      <w:sz w:val="24"/>
    </w:rPr>
  </w:style>
  <w:style w:type="character" w:customStyle="1" w:styleId="63">
    <w:name w:val="批注主题 Char"/>
    <w:link w:val="25"/>
    <w:semiHidden/>
    <w:qFormat/>
    <w:locked/>
    <w:uiPriority w:val="0"/>
    <w:rPr>
      <w:rFonts w:ascii="Times New Roman" w:hAnsi="Times New Roman" w:eastAsia="宋体"/>
      <w:b/>
      <w:kern w:val="2"/>
      <w:sz w:val="24"/>
    </w:rPr>
  </w:style>
  <w:style w:type="character" w:customStyle="1" w:styleId="64">
    <w:name w:val="正文首行缩进 2 Char"/>
    <w:link w:val="27"/>
    <w:qFormat/>
    <w:uiPriority w:val="0"/>
    <w:rPr>
      <w:rFonts w:hint="default" w:ascii="Calibri" w:hAnsi="Calibri" w:cs="Calibri"/>
      <w:kern w:val="2"/>
      <w:sz w:val="24"/>
      <w:szCs w:val="24"/>
    </w:rPr>
  </w:style>
  <w:style w:type="paragraph" w:customStyle="1" w:styleId="65">
    <w:name w:val="样式 标题 1 + 四号 段前: 0 磅 段后: 0 磅 行距: 1.5 倍行距"/>
    <w:basedOn w:val="66"/>
    <w:next w:val="1"/>
    <w:qFormat/>
    <w:uiPriority w:val="0"/>
    <w:pPr>
      <w:keepLines/>
      <w:spacing w:before="340" w:after="330"/>
      <w:jc w:val="center"/>
    </w:pPr>
    <w:rPr>
      <w:rFonts w:ascii="Calibri" w:hAnsi="黑体"/>
      <w:b/>
      <w:kern w:val="44"/>
      <w:szCs w:val="24"/>
    </w:rPr>
  </w:style>
  <w:style w:type="paragraph" w:customStyle="1" w:styleId="66">
    <w:name w:val="1正文"/>
    <w:basedOn w:val="1"/>
    <w:qFormat/>
    <w:uiPriority w:val="0"/>
    <w:pPr>
      <w:ind w:firstLine="1044"/>
    </w:pPr>
    <w:rPr>
      <w:szCs w:val="30"/>
    </w:rPr>
  </w:style>
  <w:style w:type="character" w:customStyle="1" w:styleId="67">
    <w:name w:val="日期 字符"/>
    <w:semiHidden/>
    <w:qFormat/>
    <w:uiPriority w:val="0"/>
    <w:rPr>
      <w:rFonts w:ascii="Times New Roman" w:hAnsi="Times New Roman" w:eastAsia="宋体"/>
      <w:sz w:val="24"/>
    </w:rPr>
  </w:style>
  <w:style w:type="character" w:customStyle="1" w:styleId="68">
    <w:name w:val="批注文字 字符1"/>
    <w:semiHidden/>
    <w:qFormat/>
    <w:uiPriority w:val="0"/>
    <w:rPr>
      <w:rFonts w:ascii="Times New Roman" w:hAnsi="Times New Roman" w:eastAsia="宋体"/>
      <w:sz w:val="24"/>
    </w:rPr>
  </w:style>
  <w:style w:type="character" w:customStyle="1" w:styleId="69">
    <w:name w:val="正文文本 Char1"/>
    <w:basedOn w:val="30"/>
    <w:qFormat/>
    <w:uiPriority w:val="0"/>
    <w:rPr>
      <w:kern w:val="2"/>
      <w:sz w:val="21"/>
      <w:szCs w:val="24"/>
    </w:rPr>
  </w:style>
  <w:style w:type="character" w:customStyle="1" w:styleId="70">
    <w:name w:val="样式 样式 小四 段前: 7.8 磅 段后: 7.8 磅 行距: 1.5 倍行距 + 首行缩进:  2 字符 Char"/>
    <w:basedOn w:val="30"/>
    <w:link w:val="71"/>
    <w:qFormat/>
    <w:uiPriority w:val="0"/>
    <w:rPr>
      <w:kern w:val="2"/>
      <w:sz w:val="24"/>
      <w:szCs w:val="24"/>
    </w:rPr>
  </w:style>
  <w:style w:type="paragraph" w:customStyle="1" w:styleId="71">
    <w:name w:val="样式 样式 小四 段前: 7.8 磅 段后: 7.8 磅 行距: 1.5 倍行距 + 首行缩进:  2 字符"/>
    <w:basedOn w:val="1"/>
    <w:link w:val="70"/>
    <w:qFormat/>
    <w:uiPriority w:val="0"/>
    <w:pPr>
      <w:spacing w:line="360" w:lineRule="auto"/>
      <w:ind w:firstLine="480" w:firstLineChars="200"/>
    </w:pPr>
    <w:rPr>
      <w:sz w:val="24"/>
    </w:rPr>
  </w:style>
  <w:style w:type="character" w:customStyle="1" w:styleId="72">
    <w:name w:val="表格 Char"/>
    <w:link w:val="38"/>
    <w:qFormat/>
    <w:locked/>
    <w:uiPriority w:val="0"/>
    <w:rPr>
      <w:rFonts w:ascii="宋体"/>
      <w:sz w:val="21"/>
    </w:rPr>
  </w:style>
  <w:style w:type="character" w:customStyle="1" w:styleId="73">
    <w:name w:val="页脚 字符"/>
    <w:qFormat/>
    <w:uiPriority w:val="99"/>
  </w:style>
  <w:style w:type="character" w:customStyle="1" w:styleId="74">
    <w:name w:val="纯文本 Char1"/>
    <w:basedOn w:val="30"/>
    <w:qFormat/>
    <w:uiPriority w:val="0"/>
    <w:rPr>
      <w:rFonts w:hint="eastAsia" w:ascii="宋体" w:hAnsi="Courier New" w:eastAsia="宋体" w:cs="Courier New"/>
      <w:kern w:val="2"/>
      <w:sz w:val="21"/>
      <w:szCs w:val="21"/>
    </w:rPr>
  </w:style>
  <w:style w:type="character" w:customStyle="1" w:styleId="75">
    <w:name w:val="正文文本 字符1"/>
    <w:semiHidden/>
    <w:qFormat/>
    <w:uiPriority w:val="0"/>
    <w:rPr>
      <w:rFonts w:ascii="Times New Roman" w:hAnsi="Times New Roman" w:eastAsia="宋体"/>
      <w:sz w:val="24"/>
    </w:rPr>
  </w:style>
  <w:style w:type="character" w:customStyle="1" w:styleId="76">
    <w:name w:val="正文文本缩进 Char1"/>
    <w:basedOn w:val="30"/>
    <w:qFormat/>
    <w:uiPriority w:val="0"/>
    <w:rPr>
      <w:rFonts w:hint="eastAsia" w:ascii="宋体" w:hAnsi="宋体" w:eastAsia="宋体" w:cs="宋体"/>
      <w:kern w:val="2"/>
      <w:sz w:val="24"/>
      <w:szCs w:val="24"/>
    </w:rPr>
  </w:style>
  <w:style w:type="character" w:customStyle="1" w:styleId="77">
    <w:name w:val="纯文本 Char2"/>
    <w:basedOn w:val="30"/>
    <w:qFormat/>
    <w:uiPriority w:val="0"/>
    <w:rPr>
      <w:rFonts w:hint="eastAsia" w:ascii="宋体" w:hAnsi="Courier New" w:eastAsia="宋体" w:cs="宋体"/>
      <w:kern w:val="2"/>
      <w:sz w:val="21"/>
      <w:szCs w:val="21"/>
    </w:rPr>
  </w:style>
  <w:style w:type="paragraph" w:customStyle="1" w:styleId="78">
    <w:name w:val="报告表格"/>
    <w:basedOn w:val="1"/>
    <w:qFormat/>
    <w:uiPriority w:val="0"/>
    <w:pPr>
      <w:kinsoku w:val="0"/>
      <w:overflowPunct w:val="0"/>
      <w:autoSpaceDE w:val="0"/>
      <w:autoSpaceDN w:val="0"/>
      <w:adjustRightInd w:val="0"/>
      <w:jc w:val="center"/>
      <w:textAlignment w:val="baseline"/>
    </w:pPr>
    <w:rPr>
      <w:rFonts w:ascii="Calibri" w:hAnsi="Calibri"/>
      <w:szCs w:val="22"/>
    </w:rPr>
  </w:style>
  <w:style w:type="paragraph" w:customStyle="1" w:styleId="79">
    <w:name w:val="WPSOffice手动目录 1"/>
    <w:qFormat/>
    <w:uiPriority w:val="0"/>
    <w:rPr>
      <w:rFonts w:ascii="Times New Roman" w:hAnsi="Times New Roman" w:eastAsia="宋体" w:cs="Times New Roman"/>
      <w:lang w:val="en-US" w:eastAsia="zh-CN" w:bidi="ar-SA"/>
    </w:rPr>
  </w:style>
  <w:style w:type="paragraph" w:customStyle="1" w:styleId="80">
    <w:name w:val="_Style 54"/>
    <w:unhideWhenUsed/>
    <w:qFormat/>
    <w:uiPriority w:val="99"/>
    <w:rPr>
      <w:rFonts w:ascii="Times New Roman" w:hAnsi="Times New Roman" w:eastAsia="宋体" w:cs="Times New Roman"/>
      <w:kern w:val="2"/>
      <w:sz w:val="21"/>
      <w:szCs w:val="24"/>
      <w:lang w:val="en-US" w:eastAsia="zh-CN" w:bidi="ar-SA"/>
    </w:rPr>
  </w:style>
  <w:style w:type="paragraph" w:customStyle="1" w:styleId="81">
    <w:name w:val="正本文字"/>
    <w:basedOn w:val="1"/>
    <w:qFormat/>
    <w:uiPriority w:val="0"/>
    <w:pPr>
      <w:adjustRightInd w:val="0"/>
      <w:snapToGrid w:val="0"/>
      <w:ind w:firstLine="200"/>
      <w:jc w:val="left"/>
    </w:pPr>
    <w:rPr>
      <w:rFonts w:cs="宋体"/>
      <w:kern w:val="18"/>
      <w:szCs w:val="20"/>
    </w:rPr>
  </w:style>
  <w:style w:type="paragraph" w:customStyle="1" w:styleId="8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3">
    <w:name w:val="表中文字"/>
    <w:basedOn w:val="1"/>
    <w:qFormat/>
    <w:uiPriority w:val="0"/>
    <w:pPr>
      <w:adjustRightInd w:val="0"/>
      <w:snapToGrid w:val="0"/>
      <w:spacing w:line="240" w:lineRule="atLeast"/>
      <w:jc w:val="center"/>
    </w:pPr>
    <w:rPr>
      <w:rFonts w:ascii="Calibri" w:hAnsi="Calibri"/>
      <w:snapToGrid w:val="0"/>
      <w:kern w:val="0"/>
      <w:sz w:val="24"/>
    </w:rPr>
  </w:style>
  <w:style w:type="paragraph" w:customStyle="1" w:styleId="8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5">
    <w:name w:val="正文（首行缩进两字）m"/>
    <w:basedOn w:val="6"/>
    <w:qFormat/>
    <w:uiPriority w:val="0"/>
    <w:pPr>
      <w:tabs>
        <w:tab w:val="left" w:pos="1848"/>
        <w:tab w:val="left" w:pos="6061"/>
        <w:tab w:val="left" w:pos="8665"/>
      </w:tabs>
      <w:adjustRightInd w:val="0"/>
      <w:snapToGrid w:val="0"/>
      <w:spacing w:beforeLines="50" w:line="460" w:lineRule="exact"/>
      <w:ind w:firstLine="480"/>
    </w:pPr>
    <w:rPr>
      <w:color w:val="339966"/>
    </w:rPr>
  </w:style>
  <w:style w:type="paragraph" w:customStyle="1" w:styleId="86">
    <w:name w:val="赵"/>
    <w:basedOn w:val="1"/>
    <w:qFormat/>
    <w:uiPriority w:val="0"/>
    <w:pPr>
      <w:widowControl/>
      <w:tabs>
        <w:tab w:val="left" w:pos="540"/>
        <w:tab w:val="left" w:pos="851"/>
        <w:tab w:val="left" w:pos="994"/>
        <w:tab w:val="left" w:pos="1260"/>
        <w:tab w:val="left" w:pos="3108"/>
        <w:tab w:val="left" w:pos="3150"/>
      </w:tabs>
      <w:adjustRightInd w:val="0"/>
      <w:spacing w:line="360" w:lineRule="auto"/>
      <w:ind w:firstLine="200" w:firstLineChars="200"/>
    </w:pPr>
    <w:rPr>
      <w:color w:val="000000"/>
      <w:kern w:val="32"/>
      <w:sz w:val="24"/>
      <w:szCs w:val="28"/>
    </w:rPr>
  </w:style>
  <w:style w:type="paragraph" w:customStyle="1" w:styleId="87">
    <w:name w:val="Table Paragraph"/>
    <w:basedOn w:val="1"/>
    <w:qFormat/>
    <w:uiPriority w:val="0"/>
    <w:pPr>
      <w:spacing w:line="360" w:lineRule="auto"/>
      <w:ind w:firstLine="200" w:firstLineChars="200"/>
      <w:jc w:val="left"/>
    </w:pPr>
    <w:rPr>
      <w:rFonts w:ascii="Calibri" w:hAnsi="Calibri"/>
      <w:kern w:val="0"/>
      <w:sz w:val="22"/>
      <w:szCs w:val="22"/>
    </w:rPr>
  </w:style>
  <w:style w:type="character" w:customStyle="1" w:styleId="88">
    <w:name w:val="font21"/>
    <w:basedOn w:val="30"/>
    <w:qFormat/>
    <w:uiPriority w:val="0"/>
    <w:rPr>
      <w:rFonts w:hint="eastAsia" w:ascii="宋体" w:hAnsi="宋体" w:eastAsia="宋体" w:cs="宋体"/>
      <w:b/>
      <w:bCs/>
      <w:color w:val="000000"/>
      <w:sz w:val="24"/>
      <w:szCs w:val="24"/>
      <w:u w:val="none"/>
    </w:rPr>
  </w:style>
  <w:style w:type="paragraph" w:customStyle="1" w:styleId="89">
    <w:name w:val="表格及表头"/>
    <w:basedOn w:val="1"/>
    <w:next w:val="1"/>
    <w:qFormat/>
    <w:uiPriority w:val="0"/>
    <w:rPr>
      <w:szCs w:val="21"/>
    </w:rPr>
  </w:style>
  <w:style w:type="character" w:customStyle="1" w:styleId="90">
    <w:name w:val="NormalCharacter"/>
    <w:qFormat/>
    <w:uiPriority w:val="0"/>
  </w:style>
  <w:style w:type="character" w:customStyle="1" w:styleId="91">
    <w:name w:val="viewthreadtxt"/>
    <w:basedOn w:val="30"/>
    <w:qFormat/>
    <w:uiPriority w:val="0"/>
  </w:style>
  <w:style w:type="character" w:customStyle="1" w:styleId="92">
    <w:name w:val="font61"/>
    <w:basedOn w:val="30"/>
    <w:qFormat/>
    <w:uiPriority w:val="0"/>
    <w:rPr>
      <w:rFonts w:hint="default" w:ascii="Times New Roman" w:hAnsi="Times New Roman" w:cs="Times New Roman"/>
      <w:b/>
      <w:bCs/>
      <w:color w:val="000000"/>
      <w:sz w:val="18"/>
      <w:szCs w:val="18"/>
      <w:u w:val="none"/>
    </w:rPr>
  </w:style>
  <w:style w:type="character" w:customStyle="1" w:styleId="93">
    <w:name w:val="font31"/>
    <w:basedOn w:val="30"/>
    <w:qFormat/>
    <w:uiPriority w:val="0"/>
    <w:rPr>
      <w:rFonts w:hint="eastAsia" w:ascii="宋体" w:hAnsi="宋体" w:eastAsia="宋体" w:cs="宋体"/>
      <w:b/>
      <w:bCs/>
      <w:color w:val="000000"/>
      <w:sz w:val="18"/>
      <w:szCs w:val="18"/>
      <w:u w:val="none"/>
    </w:rPr>
  </w:style>
  <w:style w:type="character" w:customStyle="1" w:styleId="94">
    <w:name w:val="font71"/>
    <w:basedOn w:val="30"/>
    <w:qFormat/>
    <w:uiPriority w:val="0"/>
    <w:rPr>
      <w:rFonts w:hint="default" w:ascii="Times New Roman" w:hAnsi="Times New Roman" w:cs="Times New Roman"/>
      <w:color w:val="000000"/>
      <w:sz w:val="18"/>
      <w:szCs w:val="18"/>
      <w:u w:val="none"/>
    </w:rPr>
  </w:style>
  <w:style w:type="character" w:customStyle="1" w:styleId="95">
    <w:name w:val="font51"/>
    <w:basedOn w:val="30"/>
    <w:qFormat/>
    <w:uiPriority w:val="0"/>
    <w:rPr>
      <w:rFonts w:hint="eastAsia" w:ascii="宋体" w:hAnsi="宋体" w:eastAsia="宋体" w:cs="宋体"/>
      <w:color w:val="000000"/>
      <w:sz w:val="18"/>
      <w:szCs w:val="18"/>
      <w:u w:val="none"/>
    </w:rPr>
  </w:style>
  <w:style w:type="character" w:customStyle="1" w:styleId="96">
    <w:name w:val="font11"/>
    <w:basedOn w:val="30"/>
    <w:qFormat/>
    <w:uiPriority w:val="0"/>
    <w:rPr>
      <w:rFonts w:hint="default" w:ascii="Times New Roman" w:hAnsi="Times New Roman" w:cs="Times New Roman"/>
      <w:color w:val="000000"/>
      <w:sz w:val="18"/>
      <w:szCs w:val="18"/>
      <w:u w:val="none"/>
    </w:rPr>
  </w:style>
  <w:style w:type="character" w:customStyle="1" w:styleId="97">
    <w:name w:val="font131"/>
    <w:basedOn w:val="30"/>
    <w:qFormat/>
    <w:uiPriority w:val="0"/>
    <w:rPr>
      <w:rFonts w:hint="eastAsia" w:ascii="宋体" w:hAnsi="宋体" w:eastAsia="宋体" w:cs="宋体"/>
      <w:color w:val="000000"/>
      <w:sz w:val="18"/>
      <w:szCs w:val="18"/>
      <w:u w:val="none"/>
    </w:rPr>
  </w:style>
  <w:style w:type="table" w:customStyle="1" w:styleId="98">
    <w:name w:val="Table Normal"/>
    <w:semiHidden/>
    <w:unhideWhenUsed/>
    <w:qFormat/>
    <w:uiPriority w:val="0"/>
    <w:tblPr>
      <w:tblCellMar>
        <w:top w:w="0" w:type="dxa"/>
        <w:left w:w="0" w:type="dxa"/>
        <w:bottom w:w="0" w:type="dxa"/>
        <w:right w:w="0" w:type="dxa"/>
      </w:tblCellMar>
    </w:tblPr>
  </w:style>
  <w:style w:type="paragraph" w:styleId="99">
    <w:name w:val="List Paragraph"/>
    <w:basedOn w:val="1"/>
    <w:qFormat/>
    <w:uiPriority w:val="34"/>
    <w:pPr>
      <w:ind w:firstLine="420" w:firstLineChars="200"/>
    </w:pPr>
  </w:style>
  <w:style w:type="paragraph" w:customStyle="1" w:styleId="100">
    <w:name w:val="表内容"/>
    <w:basedOn w:val="1"/>
    <w:qFormat/>
    <w:uiPriority w:val="0"/>
    <w:pPr>
      <w:widowControl/>
      <w:tabs>
        <w:tab w:val="left" w:pos="-2400"/>
        <w:tab w:val="left" w:pos="1320"/>
        <w:tab w:val="left" w:pos="3878"/>
        <w:tab w:val="left" w:pos="6080"/>
        <w:tab w:val="left" w:pos="6580"/>
        <w:tab w:val="left" w:pos="8137"/>
      </w:tabs>
      <w:jc w:val="center"/>
      <w:textAlignment w:val="center"/>
    </w:pPr>
    <w:rPr>
      <w:snapToGrid w:val="0"/>
      <w:kern w:val="0"/>
      <w:szCs w:val="21"/>
      <w:lang w:val="zh-CN"/>
    </w:rPr>
  </w:style>
  <w:style w:type="paragraph" w:customStyle="1" w:styleId="101">
    <w:name w:val="样式 (西文) Times New Roman 小四 行距: 1.5 倍行距 首行缩进:  2 字符"/>
    <w:basedOn w:val="1"/>
    <w:qFormat/>
    <w:uiPriority w:val="0"/>
    <w:pPr>
      <w:spacing w:line="360" w:lineRule="auto"/>
      <w:ind w:firstLine="480" w:firstLineChars="200"/>
    </w:pPr>
    <w:rPr>
      <w:rFonts w:cs="宋体"/>
      <w:sz w:val="24"/>
      <w:szCs w:val="20"/>
    </w:rPr>
  </w:style>
  <w:style w:type="character" w:customStyle="1" w:styleId="102">
    <w:name w:val="font01"/>
    <w:basedOn w:val="30"/>
    <w:qFormat/>
    <w:uiPriority w:val="0"/>
    <w:rPr>
      <w:rFonts w:hint="eastAsia" w:ascii="宋体" w:hAnsi="宋体" w:eastAsia="宋体" w:cs="宋体"/>
      <w:color w:val="000000"/>
      <w:sz w:val="21"/>
      <w:szCs w:val="21"/>
      <w:u w:val="none"/>
    </w:rPr>
  </w:style>
  <w:style w:type="paragraph" w:customStyle="1" w:styleId="103">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character" w:customStyle="1" w:styleId="104">
    <w:name w:val="font41"/>
    <w:basedOn w:val="30"/>
    <w:qFormat/>
    <w:uiPriority w:val="0"/>
    <w:rPr>
      <w:rFonts w:hint="default" w:ascii="Times New Roman" w:hAnsi="Times New Roman" w:cs="Times New Roman"/>
      <w:b/>
      <w:bCs/>
      <w:color w:val="000000"/>
      <w:sz w:val="21"/>
      <w:szCs w:val="21"/>
      <w:u w:val="none"/>
    </w:rPr>
  </w:style>
  <w:style w:type="paragraph" w:customStyle="1" w:styleId="105">
    <w:name w:val="表格标题"/>
    <w:basedOn w:val="1"/>
    <w:qFormat/>
    <w:uiPriority w:val="0"/>
    <w:pPr>
      <w:spacing w:line="540" w:lineRule="exact"/>
      <w:jc w:val="center"/>
    </w:pPr>
    <w:rPr>
      <w:rFonts w:ascii="宋体" w:hAnsi="宋体"/>
      <w:bCs/>
      <w:sz w:val="24"/>
    </w:rPr>
  </w:style>
  <w:style w:type="paragraph" w:customStyle="1" w:styleId="106">
    <w:name w:val="cucd-0"/>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character" w:customStyle="1" w:styleId="107">
    <w:name w:val="正文文本_"/>
    <w:link w:val="108"/>
    <w:qFormat/>
    <w:locked/>
    <w:uiPriority w:val="99"/>
    <w:rPr>
      <w:rFonts w:ascii="MingLiU" w:hAnsi="MingLiU" w:eastAsia="MingLiU"/>
      <w:spacing w:val="10"/>
      <w:kern w:val="0"/>
      <w:szCs w:val="21"/>
    </w:rPr>
  </w:style>
  <w:style w:type="paragraph" w:customStyle="1" w:styleId="108">
    <w:name w:val="正文文本3"/>
    <w:basedOn w:val="1"/>
    <w:link w:val="107"/>
    <w:qFormat/>
    <w:uiPriority w:val="99"/>
    <w:pPr>
      <w:shd w:val="clear" w:color="auto" w:fill="FFFFFF"/>
      <w:spacing w:before="240" w:line="466" w:lineRule="exact"/>
      <w:ind w:hanging="480"/>
      <w:jc w:val="distribute"/>
    </w:pPr>
    <w:rPr>
      <w:rFonts w:ascii="MingLiU" w:hAnsi="MingLiU" w:eastAsia="MingLiU"/>
      <w:spacing w:val="10"/>
      <w:kern w:val="0"/>
      <w:szCs w:val="21"/>
    </w:rPr>
  </w:style>
  <w:style w:type="paragraph" w:customStyle="1" w:styleId="109">
    <w:name w:val="p0"/>
    <w:basedOn w:val="1"/>
    <w:qFormat/>
    <w:uiPriority w:val="0"/>
    <w:pPr>
      <w:widowControl/>
    </w:pPr>
    <w:rPr>
      <w:rFonts w:eastAsia="Arial Unicode MS"/>
      <w:kern w:val="0"/>
      <w:szCs w:val="21"/>
    </w:rPr>
  </w:style>
  <w:style w:type="paragraph" w:customStyle="1" w:styleId="110">
    <w:name w:val="wlm表头"/>
    <w:basedOn w:val="1"/>
    <w:qFormat/>
    <w:uiPriority w:val="0"/>
    <w:pPr>
      <w:jc w:val="center"/>
    </w:pPr>
    <w:rPr>
      <w:b/>
      <w:szCs w:val="21"/>
    </w:rPr>
  </w:style>
  <w:style w:type="paragraph" w:customStyle="1" w:styleId="111">
    <w:name w:val="wlm表格"/>
    <w:basedOn w:val="1"/>
    <w:qFormat/>
    <w:uiPriority w:val="0"/>
    <w:pPr>
      <w:snapToGrid w:val="0"/>
      <w:jc w:val="center"/>
    </w:pPr>
    <w:rPr>
      <w:snapToGrid w:val="0"/>
      <w:spacing w:val="2"/>
      <w:szCs w:val="21"/>
    </w:rPr>
  </w:style>
  <w:style w:type="paragraph" w:customStyle="1" w:styleId="112">
    <w:name w:val="制表格"/>
    <w:basedOn w:val="1"/>
    <w:qFormat/>
    <w:uiPriority w:val="0"/>
    <w:pPr>
      <w:jc w:val="center"/>
    </w:pPr>
    <w:rPr>
      <w:snapToGrid w:val="0"/>
      <w:kern w:val="0"/>
      <w:szCs w:val="28"/>
    </w:rPr>
  </w:style>
  <w:style w:type="character" w:customStyle="1" w:styleId="113">
    <w:name w:val="ggzbt011"/>
    <w:basedOn w:val="30"/>
    <w:qFormat/>
    <w:uiPriority w:val="0"/>
  </w:style>
  <w:style w:type="paragraph" w:customStyle="1" w:styleId="114">
    <w:name w:val="Table Text"/>
    <w:basedOn w:val="1"/>
    <w:semiHidden/>
    <w:qFormat/>
    <w:uiPriority w:val="0"/>
    <w:rPr>
      <w:rFonts w:ascii="宋体" w:hAnsi="宋体" w:eastAsia="宋体" w:cs="宋体"/>
      <w:sz w:val="20"/>
      <w:szCs w:val="20"/>
      <w:lang w:val="en-US" w:eastAsia="en-US" w:bidi="ar-SA"/>
    </w:rPr>
  </w:style>
  <w:style w:type="character" w:customStyle="1" w:styleId="115">
    <w:name w:val="checkbox"/>
    <w:basedOn w:val="30"/>
    <w:qFormat/>
    <w:uiPriority w:val="0"/>
  </w:style>
  <w:style w:type="character" w:customStyle="1" w:styleId="116">
    <w:name w:val="checkbox2"/>
    <w:basedOn w:val="30"/>
    <w:qFormat/>
    <w:uiPriority w:val="0"/>
  </w:style>
  <w:style w:type="paragraph" w:customStyle="1" w:styleId="117">
    <w:name w:val="翔一正文"/>
    <w:basedOn w:val="1"/>
    <w:next w:val="1"/>
    <w:semiHidden/>
    <w:qFormat/>
    <w:uiPriority w:val="0"/>
    <w:pPr>
      <w:spacing w:line="360" w:lineRule="auto"/>
      <w:ind w:firstLine="1446" w:firstLineChars="200"/>
    </w:pPr>
    <w:rPr>
      <w:sz w:val="24"/>
      <w:szCs w:val="21"/>
    </w:rPr>
  </w:style>
  <w:style w:type="paragraph" w:customStyle="1" w:styleId="118">
    <w:name w:val="文本正文"/>
    <w:basedOn w:val="1"/>
    <w:qFormat/>
    <w:uiPriority w:val="0"/>
    <w:pPr>
      <w:snapToGrid w:val="0"/>
      <w:spacing w:line="360" w:lineRule="auto"/>
      <w:ind w:firstLine="510"/>
      <w:jc w:val="left"/>
    </w:pPr>
    <w:rPr>
      <w:spacing w:val="4"/>
      <w:kern w:val="24"/>
      <w:szCs w:val="24"/>
      <w:lang w:val="zh-CN"/>
    </w:rPr>
  </w:style>
  <w:style w:type="paragraph" w:customStyle="1" w:styleId="119">
    <w:name w:val="文本内容"/>
    <w:basedOn w:val="1"/>
    <w:qFormat/>
    <w:uiPriority w:val="0"/>
    <w:pPr>
      <w:widowControl/>
      <w:adjustRightInd w:val="0"/>
      <w:snapToGrid w:val="0"/>
      <w:ind w:firstLine="546" w:firstLineChars="200"/>
      <w:jc w:val="left"/>
    </w:pPr>
    <w:rPr>
      <w:sz w:val="28"/>
      <w:szCs w:val="20"/>
    </w:rPr>
  </w:style>
  <w:style w:type="paragraph" w:customStyle="1" w:styleId="120">
    <w:name w:val="Normal Indent1"/>
    <w:basedOn w:val="1"/>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microsoft.com/office/2006/relationships/keyMapCustomizations" Target="customizations.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4.bin"/><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105</Pages>
  <Words>63756</Words>
  <Characters>71420</Characters>
  <Lines>207</Lines>
  <Paragraphs>190</Paragraphs>
  <TotalTime>43</TotalTime>
  <ScaleCrop>false</ScaleCrop>
  <LinksUpToDate>false</LinksUpToDate>
  <CharactersWithSpaces>71446</CharactersWithSpaces>
  <Application>WPS Office_12.1.0.15336_F1E327BC-269C-435d-A152-05C5408002CA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2023-06-09T07:48:00Z</dcterms:created>
  <dc:creator>lhj</dc:creator>
  <cp:lastModifiedBy>Mr.Stark</cp:lastModifiedBy>
  <cp:lastPrinted>2021-07-03T14:10:00Z</cp:lastPrinted>
  <dcterms:modified xsi:type="dcterms:W3CDTF">2025-09-01T07:03:04Z</dcterms:modified>
  <dc:title>附件2</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2052-12.1.0.15336</vt:lpwstr>
  </property>
  <property fmtid="{D5CDD505-2E9C-101B-9397-08002B2CF9AE}" pid="3" name="ICV">
    <vt:lpwstr>8F881516F684422687E81263D66E559C_13</vt:lpwstr>
  </property>
</Properties>
</file>