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70" w:lineRule="exact"/>
        <w:jc w:val="center"/>
        <w:textAlignment w:val="auto"/>
        <w:rPr>
          <w:rFonts w:hint="eastAsia" w:ascii="宋体" w:hAnsi="宋体" w:eastAsia="宋体" w:cs="宋体"/>
          <w:b w:val="0"/>
          <w:bCs w:val="0"/>
          <w:snapToGrid/>
          <w:kern w:val="0"/>
          <w:sz w:val="44"/>
          <w:szCs w:val="44"/>
          <w:lang w:val="en-US" w:eastAsia="zh-CN" w:bidi="ar-SA"/>
        </w:rPr>
      </w:pPr>
      <w:bookmarkStart w:id="0" w:name="_GoBack"/>
      <w:r>
        <w:rPr>
          <w:rFonts w:hint="eastAsia" w:ascii="宋体" w:hAnsi="宋体" w:eastAsia="宋体" w:cs="宋体"/>
          <w:b w:val="0"/>
          <w:bCs w:val="0"/>
          <w:snapToGrid/>
          <w:kern w:val="0"/>
          <w:sz w:val="44"/>
          <w:szCs w:val="44"/>
          <w:lang w:val="en-US" w:eastAsia="zh-CN" w:bidi="ar-SA"/>
        </w:rPr>
        <w:t>澄江市人民政府关于印发《澄江市</w:t>
      </w:r>
    </w:p>
    <w:p>
      <w:pPr>
        <w:keepNext w:val="0"/>
        <w:keepLines w:val="0"/>
        <w:pageBreakBefore w:val="0"/>
        <w:widowControl/>
        <w:kinsoku/>
        <w:wordWrap/>
        <w:overflowPunct/>
        <w:topLinePunct w:val="0"/>
        <w:autoSpaceDE/>
        <w:autoSpaceDN/>
        <w:bidi w:val="0"/>
        <w:adjustRightInd/>
        <w:snapToGrid/>
        <w:spacing w:line="570" w:lineRule="exact"/>
        <w:jc w:val="center"/>
        <w:textAlignment w:val="auto"/>
        <w:rPr>
          <w:rFonts w:hint="eastAsia" w:ascii="楷体_GB2312" w:hAnsi="楷体_GB2312" w:eastAsia="楷体_GB2312" w:cs="楷体_GB2312"/>
          <w:b w:val="0"/>
          <w:bCs w:val="0"/>
          <w:snapToGrid/>
          <w:kern w:val="0"/>
          <w:sz w:val="32"/>
          <w:szCs w:val="32"/>
          <w:lang w:val="en-US" w:eastAsia="zh-CN" w:bidi="ar-SA"/>
        </w:rPr>
      </w:pPr>
      <w:r>
        <w:rPr>
          <w:rFonts w:hint="eastAsia" w:ascii="宋体" w:hAnsi="宋体" w:eastAsia="宋体" w:cs="宋体"/>
          <w:b w:val="0"/>
          <w:bCs w:val="0"/>
          <w:snapToGrid/>
          <w:kern w:val="0"/>
          <w:sz w:val="44"/>
          <w:szCs w:val="44"/>
          <w:lang w:val="en-US" w:eastAsia="zh-CN" w:bidi="ar-SA"/>
        </w:rPr>
        <w:t>农村公益性公墓管理办法（试行）》的通知</w:t>
      </w:r>
      <w:r>
        <w:rPr>
          <w:rFonts w:hint="eastAsia" w:ascii="楷体_GB2312" w:hAnsi="楷体_GB2312" w:eastAsia="楷体_GB2312" w:cs="楷体_GB2312"/>
          <w:b w:val="0"/>
          <w:bCs w:val="0"/>
          <w:snapToGrid/>
          <w:kern w:val="0"/>
          <w:sz w:val="32"/>
          <w:szCs w:val="32"/>
          <w:lang w:val="en-US" w:eastAsia="zh-CN" w:bidi="ar-SA"/>
        </w:rPr>
        <w:t>澄政规〔2025〕2号</w:t>
      </w:r>
    </w:p>
    <w:bookmarkEnd w:id="0"/>
    <w:p>
      <w:pPr>
        <w:pStyle w:val="2"/>
        <w:pageBreakBefore w:val="0"/>
        <w:kinsoku/>
        <w:wordWrap/>
        <w:topLinePunct w:val="0"/>
        <w:bidi w:val="0"/>
        <w:spacing w:line="570" w:lineRule="exact"/>
        <w:rPr>
          <w:rFonts w:hint="eastAsia"/>
          <w:lang w:val="en-US" w:eastAsia="zh-CN"/>
        </w:rPr>
      </w:pP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textAlignment w:val="baseline"/>
        <w:rPr>
          <w:rFonts w:hint="default" w:ascii="Times New Roman" w:hAnsi="Times New Roman" w:eastAsia="仿宋_GB2312" w:cs="Times New Roman"/>
          <w:color w:val="auto"/>
          <w:sz w:val="32"/>
          <w:szCs w:val="32"/>
          <w:highlight w:val="none"/>
          <w:shd w:val="clear" w:color="auto" w:fill="auto"/>
        </w:rPr>
      </w:pPr>
    </w:p>
    <w:p>
      <w:pPr>
        <w:keepNext w:val="0"/>
        <w:keepLines w:val="0"/>
        <w:pageBreakBefore w:val="0"/>
        <w:widowControl w:val="0"/>
        <w:kinsoku/>
        <w:wordWrap/>
        <w:overflowPunct/>
        <w:topLinePunct w:val="0"/>
        <w:autoSpaceDE/>
        <w:autoSpaceDN/>
        <w:bidi w:val="0"/>
        <w:adjustRightInd/>
        <w:snapToGrid/>
        <w:spacing w:line="570" w:lineRule="exact"/>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各镇人民政府、街道办事处，市直有关单位，中央、省、市驻澄有关单位：</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《澄江市农村公益性公墓管理办法（试行）》已经澄江市第二届人民政府第56次常务会议审议通过，现印发给你们，请认真贯彻执行。</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 xml:space="preserve">                             2025年4月25日</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（此件公开发布）</w:t>
      </w:r>
    </w:p>
    <w:p>
      <w:pPr>
        <w:pStyle w:val="2"/>
        <w:pageBreakBefore w:val="0"/>
        <w:kinsoku/>
        <w:wordWrap/>
        <w:topLinePunct w:val="0"/>
        <w:bidi w:val="0"/>
        <w:spacing w:line="570" w:lineRule="exact"/>
        <w:rPr>
          <w:rFonts w:hint="default" w:ascii="仿宋" w:hAnsi="仿宋" w:eastAsia="仿宋_GB2312" w:cs="仿宋"/>
          <w:snapToGrid/>
          <w:kern w:val="2"/>
          <w:sz w:val="32"/>
          <w:szCs w:val="32"/>
          <w:lang w:val="en-US" w:eastAsia="zh-CN" w:bidi="ar-SA"/>
        </w:rPr>
      </w:pPr>
    </w:p>
    <w:p>
      <w:pPr>
        <w:pageBreakBefore w:val="0"/>
        <w:kinsoku/>
        <w:wordWrap/>
        <w:topLinePunct w:val="0"/>
        <w:bidi w:val="0"/>
        <w:spacing w:line="570" w:lineRule="exact"/>
        <w:rPr>
          <w:rFonts w:hint="default"/>
          <w:lang w:val="en-US" w:eastAsia="zh-CN"/>
        </w:rPr>
      </w:pPr>
    </w:p>
    <w:p>
      <w:pPr>
        <w:keepNext w:val="0"/>
        <w:keepLines w:val="0"/>
        <w:pageBreakBefore w:val="0"/>
        <w:widowControl/>
        <w:kinsoku/>
        <w:wordWrap/>
        <w:overflowPunct/>
        <w:topLinePunct w:val="0"/>
        <w:autoSpaceDE/>
        <w:autoSpaceDN/>
        <w:bidi w:val="0"/>
        <w:adjustRightInd/>
        <w:snapToGrid/>
        <w:spacing w:line="570" w:lineRule="exact"/>
        <w:ind w:firstLine="0" w:firstLineChars="0"/>
        <w:jc w:val="center"/>
        <w:textAlignment w:val="auto"/>
        <w:rPr>
          <w:rFonts w:hint="default" w:ascii="宋体" w:hAnsi="宋体" w:eastAsia="宋体" w:cs="宋体"/>
          <w:b w:val="0"/>
          <w:bCs w:val="0"/>
          <w:snapToGrid/>
          <w:kern w:val="0"/>
          <w:sz w:val="44"/>
          <w:szCs w:val="44"/>
          <w:lang w:val="en-US" w:eastAsia="zh-CN" w:bidi="ar-SA"/>
        </w:rPr>
      </w:pPr>
      <w:r>
        <w:rPr>
          <w:rFonts w:hint="default" w:ascii="宋体" w:hAnsi="宋体" w:eastAsia="宋体" w:cs="宋体"/>
          <w:b w:val="0"/>
          <w:bCs w:val="0"/>
          <w:snapToGrid/>
          <w:kern w:val="0"/>
          <w:sz w:val="44"/>
          <w:szCs w:val="44"/>
          <w:lang w:val="en-US" w:eastAsia="zh-CN" w:bidi="ar-SA"/>
        </w:rPr>
        <w:t>澄江市农村公益性公墓管理办法（试行）</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p>
    <w:p>
      <w:pPr>
        <w:keepNext w:val="0"/>
        <w:keepLines w:val="0"/>
        <w:pageBreakBefore w:val="0"/>
        <w:widowControl w:val="0"/>
        <w:kinsoku/>
        <w:wordWrap/>
        <w:overflowPunct w:val="0"/>
        <w:topLinePunct w:val="0"/>
        <w:autoSpaceDE w:val="0"/>
        <w:autoSpaceDN w:val="0"/>
        <w:bidi w:val="0"/>
        <w:adjustRightInd w:val="0"/>
        <w:snapToGrid w:val="0"/>
        <w:spacing w:line="570" w:lineRule="exact"/>
        <w:jc w:val="center"/>
        <w:textAlignment w:val="baseline"/>
        <w:rPr>
          <w:rFonts w:hint="default" w:ascii="方正黑体_GBK" w:hAnsi="方正黑体_GBK" w:eastAsia="黑体" w:cs="方正黑体_GBK"/>
          <w:color w:val="auto"/>
          <w:sz w:val="32"/>
          <w:szCs w:val="32"/>
          <w:highlight w:val="none"/>
          <w:shd w:val="clear" w:color="auto" w:fill="auto"/>
          <w:lang w:val="en-US" w:eastAsia="zh-CN"/>
        </w:rPr>
      </w:pPr>
      <w:r>
        <w:rPr>
          <w:rFonts w:hint="default" w:ascii="方正黑体_GBK" w:hAnsi="方正黑体_GBK" w:eastAsia="黑体" w:cs="方正黑体_GBK"/>
          <w:color w:val="auto"/>
          <w:sz w:val="32"/>
          <w:szCs w:val="32"/>
          <w:highlight w:val="none"/>
          <w:shd w:val="clear" w:color="auto" w:fill="auto"/>
          <w:lang w:val="en-US" w:eastAsia="zh-CN"/>
        </w:rPr>
        <w:t>第一章  总则</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黑体" w:hAnsi="黑体" w:eastAsia="黑体" w:cs="黑体"/>
          <w:kern w:val="0"/>
          <w:sz w:val="32"/>
          <w:szCs w:val="32"/>
          <w:lang w:val="en-US" w:eastAsia="zh-CN"/>
        </w:rPr>
        <w:t>第一条 </w:t>
      </w:r>
      <w:r>
        <w:rPr>
          <w:rFonts w:hint="default" w:ascii="仿宋" w:hAnsi="仿宋" w:eastAsia="仿宋_GB2312" w:cs="仿宋"/>
          <w:snapToGrid/>
          <w:kern w:val="2"/>
          <w:sz w:val="32"/>
          <w:szCs w:val="32"/>
          <w:lang w:val="en-US" w:eastAsia="zh-CN" w:bidi="ar-SA"/>
        </w:rPr>
        <w:t> 为进一步加强农村公益性公墓管理，节约土地资源，保护生态环境，推进移风易俗，倡导绿色文明生态，持续深化殡葬改革，根据《殡葬管理条例》《云南省殡葬管理条例》《玉溪市农村公益性公墓管理办法》等有关规定，制定本办法。</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黑体" w:hAnsi="黑体" w:eastAsia="黑体" w:cs="黑体"/>
          <w:kern w:val="0"/>
          <w:sz w:val="32"/>
          <w:szCs w:val="32"/>
          <w:lang w:val="en-US" w:eastAsia="zh-CN"/>
        </w:rPr>
        <w:t>第二条  </w:t>
      </w:r>
      <w:r>
        <w:rPr>
          <w:rFonts w:hint="default" w:ascii="仿宋" w:hAnsi="仿宋" w:eastAsia="仿宋_GB2312" w:cs="仿宋"/>
          <w:snapToGrid/>
          <w:kern w:val="2"/>
          <w:sz w:val="32"/>
          <w:szCs w:val="32"/>
          <w:lang w:val="en-US" w:eastAsia="zh-CN" w:bidi="ar-SA"/>
        </w:rPr>
        <w:t>在澄江市辖区内建设、管理、使用农村公益性公墓的单位和个人，必须遵守本办法。</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eastAsia" w:ascii="黑体" w:hAnsi="黑体" w:eastAsia="黑体" w:cs="黑体"/>
          <w:snapToGrid/>
          <w:kern w:val="2"/>
          <w:sz w:val="32"/>
          <w:szCs w:val="32"/>
          <w:lang w:val="en-US" w:eastAsia="zh-CN" w:bidi="ar-SA"/>
        </w:rPr>
        <w:t>第三条  </w:t>
      </w:r>
      <w:r>
        <w:rPr>
          <w:rFonts w:hint="default" w:ascii="仿宋" w:hAnsi="仿宋" w:eastAsia="仿宋_GB2312" w:cs="仿宋"/>
          <w:snapToGrid/>
          <w:kern w:val="2"/>
          <w:sz w:val="32"/>
          <w:szCs w:val="32"/>
          <w:lang w:val="en-US" w:eastAsia="zh-CN" w:bidi="ar-SA"/>
        </w:rPr>
        <w:t>农村公益性公墓是不以营利为目的，为村（居）民死亡后提供骨灰安葬，以社会效益为主的非经营性公共殡葬服务设施。</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eastAsia" w:ascii="黑体" w:hAnsi="黑体" w:eastAsia="黑体" w:cs="黑体"/>
          <w:snapToGrid/>
          <w:kern w:val="2"/>
          <w:sz w:val="32"/>
          <w:szCs w:val="32"/>
          <w:lang w:val="en-US" w:eastAsia="zh-CN" w:bidi="ar-SA"/>
        </w:rPr>
        <w:t>第四条  </w:t>
      </w:r>
      <w:r>
        <w:rPr>
          <w:rFonts w:hint="default" w:ascii="仿宋" w:hAnsi="仿宋" w:eastAsia="仿宋_GB2312" w:cs="仿宋"/>
          <w:snapToGrid/>
          <w:kern w:val="2"/>
          <w:sz w:val="32"/>
          <w:szCs w:val="32"/>
          <w:lang w:val="en-US" w:eastAsia="zh-CN" w:bidi="ar-SA"/>
        </w:rPr>
        <w:t>澄江市民政局负责对全市农村公益性公墓建设管理的指导和监督工作。</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各镇人民政府、街道办事处负责本辖区农村公益性公墓的建设、管理和服务等具体工作。</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澄江市自然资源局、澄江市发展和改革局、澄江市住房和城乡建设局、澄江市交通运输局、澄江市水利局、澄江市林业和草原局、澄江市财政局、澄江市市场监督管理局、玉溪市生态环境局澄江分局、澄江市文化和旅游局、澄江市抚仙湖管理局、澄江市民族宗教事务局等部门，应当根据各自的职责，共同做好农村公益性公墓的监督管理工作。</w:t>
      </w:r>
    </w:p>
    <w:p>
      <w:pPr>
        <w:pStyle w:val="2"/>
        <w:pageBreakBefore w:val="0"/>
        <w:kinsoku/>
        <w:wordWrap/>
        <w:topLinePunct w:val="0"/>
        <w:bidi w:val="0"/>
        <w:spacing w:line="570" w:lineRule="exact"/>
        <w:rPr>
          <w:rFonts w:hint="default"/>
          <w:lang w:val="en-US" w:eastAsia="zh-CN"/>
        </w:rPr>
      </w:pPr>
    </w:p>
    <w:p>
      <w:pPr>
        <w:keepNext w:val="0"/>
        <w:keepLines w:val="0"/>
        <w:pageBreakBefore w:val="0"/>
        <w:widowControl w:val="0"/>
        <w:kinsoku/>
        <w:wordWrap/>
        <w:overflowPunct w:val="0"/>
        <w:topLinePunct w:val="0"/>
        <w:autoSpaceDE w:val="0"/>
        <w:autoSpaceDN w:val="0"/>
        <w:bidi w:val="0"/>
        <w:adjustRightInd w:val="0"/>
        <w:snapToGrid w:val="0"/>
        <w:spacing w:line="570" w:lineRule="exact"/>
        <w:jc w:val="center"/>
        <w:textAlignment w:val="baseline"/>
        <w:rPr>
          <w:rFonts w:hint="default" w:ascii="方正黑体_GBK" w:hAnsi="方正黑体_GBK" w:eastAsia="黑体" w:cs="方正黑体_GBK"/>
          <w:color w:val="auto"/>
          <w:sz w:val="32"/>
          <w:szCs w:val="32"/>
          <w:highlight w:val="none"/>
          <w:shd w:val="clear" w:color="auto" w:fill="auto"/>
          <w:lang w:val="en-US" w:eastAsia="zh-CN"/>
        </w:rPr>
      </w:pPr>
      <w:r>
        <w:rPr>
          <w:rFonts w:hint="default" w:ascii="方正黑体_GBK" w:hAnsi="方正黑体_GBK" w:eastAsia="黑体" w:cs="方正黑体_GBK"/>
          <w:color w:val="auto"/>
          <w:sz w:val="32"/>
          <w:szCs w:val="32"/>
          <w:highlight w:val="none"/>
          <w:shd w:val="clear" w:color="auto" w:fill="auto"/>
          <w:lang w:val="en-US" w:eastAsia="zh-CN"/>
        </w:rPr>
        <w:t>第二章  规划与建设</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eastAsia" w:ascii="黑体" w:hAnsi="黑体" w:eastAsia="黑体" w:cs="黑体"/>
          <w:snapToGrid/>
          <w:kern w:val="2"/>
          <w:sz w:val="32"/>
          <w:szCs w:val="32"/>
          <w:lang w:val="en-US" w:eastAsia="zh-CN" w:bidi="ar-SA"/>
        </w:rPr>
        <w:t>第五条  </w:t>
      </w:r>
      <w:r>
        <w:rPr>
          <w:rFonts w:hint="default" w:ascii="仿宋" w:hAnsi="仿宋" w:eastAsia="仿宋_GB2312" w:cs="仿宋"/>
          <w:snapToGrid/>
          <w:kern w:val="2"/>
          <w:sz w:val="32"/>
          <w:szCs w:val="32"/>
          <w:lang w:val="en-US" w:eastAsia="zh-CN" w:bidi="ar-SA"/>
        </w:rPr>
        <w:t>农村公益性公墓规划由澄江市民政局负责编制，报澄江市人民政府批准后实施。公墓的设置、数量、规模应根据服务范围内人口数量及分布状况、地域情况、交通状况等来确定。</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eastAsia" w:ascii="黑体" w:hAnsi="黑体" w:eastAsia="黑体" w:cs="黑体"/>
          <w:snapToGrid/>
          <w:kern w:val="2"/>
          <w:sz w:val="32"/>
          <w:szCs w:val="32"/>
          <w:lang w:val="en-US" w:eastAsia="zh-CN" w:bidi="ar-SA"/>
        </w:rPr>
        <w:t>第六条  </w:t>
      </w:r>
      <w:r>
        <w:rPr>
          <w:rFonts w:hint="default" w:ascii="仿宋" w:hAnsi="仿宋" w:eastAsia="仿宋_GB2312" w:cs="仿宋"/>
          <w:snapToGrid/>
          <w:kern w:val="2"/>
          <w:sz w:val="32"/>
          <w:szCs w:val="32"/>
          <w:lang w:val="en-US" w:eastAsia="zh-CN" w:bidi="ar-SA"/>
        </w:rPr>
        <w:t>农村公益性公墓的选址必须符合澄江市国土空间规划的要求，应当选择在荒山、荒坡或不宜耕种的瘠地上建设，不得占用耕地。</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禁止在下列区域内规划建设农村公益性公墓：</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（一）水库、河流、引水渠堤坝200米以内和水源保护区；</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（二）城市公园、风景名胜区及其规划区、文物保护区和居民区；</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（三）抚仙湖沿湖面山区域；</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（四）公路两侧建筑控制区内；</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（五）法律法规禁止的其他区域。</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eastAsia" w:ascii="黑体" w:hAnsi="黑体" w:eastAsia="黑体" w:cs="黑体"/>
          <w:snapToGrid/>
          <w:kern w:val="2"/>
          <w:sz w:val="32"/>
          <w:szCs w:val="32"/>
          <w:lang w:val="en-US" w:eastAsia="zh-CN" w:bidi="ar-SA"/>
        </w:rPr>
        <w:t>第七条 </w:t>
      </w:r>
      <w:r>
        <w:rPr>
          <w:rFonts w:hint="default" w:ascii="仿宋" w:hAnsi="仿宋" w:eastAsia="仿宋_GB2312" w:cs="仿宋"/>
          <w:snapToGrid/>
          <w:kern w:val="2"/>
          <w:sz w:val="32"/>
          <w:szCs w:val="32"/>
          <w:lang w:val="en-US" w:eastAsia="zh-CN" w:bidi="ar-SA"/>
        </w:rPr>
        <w:t> 农村公益性公墓的命名要选择能体现本地特点、自然风光或具有历史渊源的名称。</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eastAsia" w:ascii="黑体" w:hAnsi="黑体" w:eastAsia="黑体" w:cs="黑体"/>
          <w:snapToGrid/>
          <w:kern w:val="2"/>
          <w:sz w:val="32"/>
          <w:szCs w:val="32"/>
          <w:lang w:val="en-US" w:eastAsia="zh-CN" w:bidi="ar-SA"/>
        </w:rPr>
        <w:t>第八条  </w:t>
      </w:r>
      <w:r>
        <w:rPr>
          <w:rFonts w:hint="default" w:ascii="仿宋" w:hAnsi="仿宋" w:eastAsia="仿宋_GB2312" w:cs="仿宋"/>
          <w:snapToGrid/>
          <w:kern w:val="2"/>
          <w:sz w:val="32"/>
          <w:szCs w:val="32"/>
          <w:lang w:val="en-US" w:eastAsia="zh-CN" w:bidi="ar-SA"/>
        </w:rPr>
        <w:t>农村公益性公墓应满足骨灰处理多样化的目标，规划建设应提倡墓碑小型化、葬法多样化。鼓励骨灰进行树葬、花葬、草坪葬、撒葬等节地生态安葬方式。</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eastAsia" w:ascii="黑体" w:hAnsi="黑体" w:eastAsia="黑体" w:cs="黑体"/>
          <w:snapToGrid/>
          <w:kern w:val="2"/>
          <w:sz w:val="32"/>
          <w:szCs w:val="32"/>
          <w:lang w:val="en-US" w:eastAsia="zh-CN" w:bidi="ar-SA"/>
        </w:rPr>
        <w:t>第九条 </w:t>
      </w:r>
      <w:r>
        <w:rPr>
          <w:rFonts w:hint="default" w:ascii="仿宋" w:hAnsi="仿宋" w:eastAsia="仿宋_GB2312" w:cs="仿宋"/>
          <w:snapToGrid/>
          <w:kern w:val="2"/>
          <w:sz w:val="32"/>
          <w:szCs w:val="32"/>
          <w:lang w:val="en-US" w:eastAsia="zh-CN" w:bidi="ar-SA"/>
        </w:rPr>
        <w:t> 农村公益性公墓建设坚持以人为本，坚持“绿色、生态”的理念进行建设。墓区建设尽量不砍伐原有林木，尽可能保留灌木，要求依山就势，因地制宜进行建设。</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eastAsia" w:ascii="黑体" w:hAnsi="黑体" w:eastAsia="黑体" w:cs="黑体"/>
          <w:snapToGrid/>
          <w:kern w:val="2"/>
          <w:sz w:val="32"/>
          <w:szCs w:val="32"/>
          <w:lang w:val="en-US" w:eastAsia="zh-CN" w:bidi="ar-SA"/>
        </w:rPr>
        <w:t>第十条  </w:t>
      </w:r>
      <w:r>
        <w:rPr>
          <w:rFonts w:hint="default" w:ascii="仿宋" w:hAnsi="仿宋" w:eastAsia="仿宋_GB2312" w:cs="仿宋"/>
          <w:snapToGrid/>
          <w:kern w:val="2"/>
          <w:sz w:val="32"/>
          <w:szCs w:val="32"/>
          <w:lang w:val="en-US" w:eastAsia="zh-CN" w:bidi="ar-SA"/>
        </w:rPr>
        <w:t>农村公益性公墓建设规模参照当年辖区人口数的年死亡率测算，实行一次性规划，分期建设。原则上按20年需求规划控制面积，规划建设满足最少5年使用需求。</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eastAsia" w:ascii="黑体" w:hAnsi="黑体" w:eastAsia="黑体" w:cs="黑体"/>
          <w:snapToGrid/>
          <w:kern w:val="2"/>
          <w:sz w:val="32"/>
          <w:szCs w:val="32"/>
          <w:lang w:val="en-US" w:eastAsia="zh-CN" w:bidi="ar-SA"/>
        </w:rPr>
        <w:t>第十一条  </w:t>
      </w:r>
      <w:r>
        <w:rPr>
          <w:rFonts w:hint="default" w:ascii="仿宋" w:hAnsi="仿宋" w:eastAsia="仿宋_GB2312" w:cs="仿宋"/>
          <w:snapToGrid/>
          <w:kern w:val="2"/>
          <w:sz w:val="32"/>
          <w:szCs w:val="32"/>
          <w:lang w:val="en-US" w:eastAsia="zh-CN" w:bidi="ar-SA"/>
        </w:rPr>
        <w:t>报批程序</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村级农村公益性公墓建设由村（居）民委员会提出申请，镇人民政府（街道办事处）审核后报澄江市民政局审批。</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镇（街道）级公益性公墓由镇人民政府（街道办事处）提出申请，报澄江市民政局审批。</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澄江市民政局与澄江市发展和改革局、澄江市自然资源局、澄江市住房和城乡建设局、澄江市水利局、澄江市抚仙湖管理局、玉溪市生态环境局澄江分局、澄江市林业和草原局等部门会商后进行批复。</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eastAsia" w:ascii="黑体" w:hAnsi="黑体" w:eastAsia="黑体" w:cs="黑体"/>
          <w:snapToGrid/>
          <w:kern w:val="2"/>
          <w:sz w:val="32"/>
          <w:szCs w:val="32"/>
          <w:lang w:val="en-US" w:eastAsia="zh-CN" w:bidi="ar-SA"/>
        </w:rPr>
        <w:t>第十二条 </w:t>
      </w:r>
      <w:r>
        <w:rPr>
          <w:rFonts w:hint="default" w:ascii="仿宋" w:hAnsi="仿宋" w:eastAsia="仿宋_GB2312" w:cs="仿宋"/>
          <w:snapToGrid/>
          <w:kern w:val="2"/>
          <w:sz w:val="32"/>
          <w:szCs w:val="32"/>
          <w:lang w:val="en-US" w:eastAsia="zh-CN" w:bidi="ar-SA"/>
        </w:rPr>
        <w:t> 申请建设农村公益性公墓，应当提交下列材料：</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（一）建设农村公益性公墓申请报告；</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（二）可行性研究报告；</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（三）规划设计方案；</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（四）相关管理制度。</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eastAsia" w:ascii="黑体" w:hAnsi="黑体" w:eastAsia="黑体" w:cs="黑体"/>
          <w:snapToGrid/>
          <w:kern w:val="2"/>
          <w:sz w:val="32"/>
          <w:szCs w:val="32"/>
          <w:lang w:val="en-US" w:eastAsia="zh-CN" w:bidi="ar-SA"/>
        </w:rPr>
        <w:t>第十三条  </w:t>
      </w:r>
      <w:r>
        <w:rPr>
          <w:rFonts w:hint="default" w:ascii="仿宋" w:hAnsi="仿宋" w:eastAsia="仿宋_GB2312" w:cs="仿宋"/>
          <w:snapToGrid/>
          <w:kern w:val="2"/>
          <w:sz w:val="32"/>
          <w:szCs w:val="32"/>
          <w:lang w:val="en-US" w:eastAsia="zh-CN" w:bidi="ar-SA"/>
        </w:rPr>
        <w:t>农村公益性公墓应当按照下列标准建设：</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一）墓穴占地面积，单人墓穴每穴不超过0.5平方米，双人合葬墓穴不超过0.8平方米，单元与单元之间用道路隔开，路宽不超过1.5米，墓位前通道宽不超过1米，墓与墓之间的隔离宽不超过40厘米，用常绿树木或花草隔开，每排建设排水沟渠并汇入主道路排水系统，公共道路两侧和公共区域种植乔木，墓碑高度不得超过60厘米，卧碑高度不超过地面15厘米，不得建石围栏等附属设施，同一公墓的石材用料颜色统一。</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（二）绿地面积不低于总面积的40%，绿化覆盖率不得低于75%。</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eastAsia" w:ascii="黑体" w:hAnsi="黑体" w:eastAsia="黑体" w:cs="黑体"/>
          <w:snapToGrid/>
          <w:kern w:val="2"/>
          <w:sz w:val="32"/>
          <w:szCs w:val="32"/>
          <w:lang w:val="en-US" w:eastAsia="zh-CN" w:bidi="ar-SA"/>
        </w:rPr>
        <w:t>第十四条 </w:t>
      </w:r>
      <w:r>
        <w:rPr>
          <w:rFonts w:hint="default" w:ascii="仿宋" w:hAnsi="仿宋" w:eastAsia="仿宋_GB2312" w:cs="仿宋"/>
          <w:snapToGrid/>
          <w:kern w:val="2"/>
          <w:sz w:val="32"/>
          <w:szCs w:val="32"/>
          <w:lang w:val="en-US" w:eastAsia="zh-CN" w:bidi="ar-SA"/>
        </w:rPr>
        <w:t> 禁止在公墓内建活人墓、家族墓、宗族墓或者与公墓管理规定不相符的其他设施。</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eastAsia" w:ascii="黑体" w:hAnsi="黑体" w:eastAsia="黑体" w:cs="黑体"/>
          <w:snapToGrid/>
          <w:kern w:val="2"/>
          <w:sz w:val="32"/>
          <w:szCs w:val="32"/>
          <w:lang w:val="en-US" w:eastAsia="zh-CN" w:bidi="ar-SA"/>
        </w:rPr>
        <w:t>第十五条</w:t>
      </w:r>
      <w:r>
        <w:rPr>
          <w:rFonts w:hint="default" w:ascii="仿宋" w:hAnsi="仿宋" w:eastAsia="仿宋_GB2312" w:cs="仿宋"/>
          <w:snapToGrid/>
          <w:kern w:val="2"/>
          <w:sz w:val="32"/>
          <w:szCs w:val="32"/>
          <w:lang w:val="en-US" w:eastAsia="zh-CN" w:bidi="ar-SA"/>
        </w:rPr>
        <w:t>  农村公益性公墓的建设资金来源：</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（一）上级补助资金；</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（二）澄江市本级和镇人民政府、街道办事处投入资金；</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（三）村（居）民委员会自筹资金；</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（四）社会捐助、赞助资金。</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建设资金做到专款专用，依法向社会公开收支情况，并接受监督，不得向村（居）民摊派。</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农村公益性公墓建设可以接受社会的赞助，但不得以经营为目的进行投资和承包经营，不得对赞助人员设立纪念碑或者功德碑。</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eastAsia" w:ascii="黑体" w:hAnsi="黑体" w:eastAsia="黑体" w:cs="黑体"/>
          <w:snapToGrid/>
          <w:kern w:val="2"/>
          <w:sz w:val="32"/>
          <w:szCs w:val="32"/>
          <w:lang w:val="en-US" w:eastAsia="zh-CN" w:bidi="ar-SA"/>
        </w:rPr>
        <w:t>第十六条</w:t>
      </w:r>
      <w:r>
        <w:rPr>
          <w:rFonts w:hint="default" w:ascii="仿宋" w:hAnsi="仿宋" w:eastAsia="仿宋_GB2312" w:cs="仿宋"/>
          <w:snapToGrid/>
          <w:kern w:val="2"/>
          <w:sz w:val="32"/>
          <w:szCs w:val="32"/>
          <w:lang w:val="en-US" w:eastAsia="zh-CN" w:bidi="ar-SA"/>
        </w:rPr>
        <w:t>  经批准建设的农村公益性公墓，由各镇人民政府、街道办事处履行项目实施职责并组织初验后，报澄江市民政局会同有关部门检查验收合格，方可投入使用。</w:t>
      </w:r>
    </w:p>
    <w:p>
      <w:pPr>
        <w:pStyle w:val="2"/>
        <w:pageBreakBefore w:val="0"/>
        <w:kinsoku/>
        <w:wordWrap/>
        <w:topLinePunct w:val="0"/>
        <w:bidi w:val="0"/>
        <w:spacing w:line="570" w:lineRule="exact"/>
        <w:rPr>
          <w:rFonts w:hint="default"/>
          <w:lang w:val="en-US" w:eastAsia="zh-CN"/>
        </w:rPr>
      </w:pPr>
    </w:p>
    <w:p>
      <w:pPr>
        <w:keepNext w:val="0"/>
        <w:keepLines w:val="0"/>
        <w:pageBreakBefore w:val="0"/>
        <w:widowControl w:val="0"/>
        <w:kinsoku/>
        <w:wordWrap/>
        <w:overflowPunct w:val="0"/>
        <w:topLinePunct w:val="0"/>
        <w:autoSpaceDE w:val="0"/>
        <w:autoSpaceDN w:val="0"/>
        <w:bidi w:val="0"/>
        <w:adjustRightInd w:val="0"/>
        <w:snapToGrid w:val="0"/>
        <w:spacing w:line="570" w:lineRule="exact"/>
        <w:jc w:val="center"/>
        <w:textAlignment w:val="baseline"/>
        <w:rPr>
          <w:rFonts w:hint="default" w:ascii="方正黑体_GBK" w:hAnsi="方正黑体_GBK" w:eastAsia="黑体" w:cs="方正黑体_GBK"/>
          <w:color w:val="auto"/>
          <w:sz w:val="32"/>
          <w:szCs w:val="32"/>
          <w:highlight w:val="none"/>
          <w:shd w:val="clear" w:color="auto" w:fill="auto"/>
          <w:lang w:val="en-US" w:eastAsia="zh-CN"/>
        </w:rPr>
      </w:pPr>
      <w:r>
        <w:rPr>
          <w:rFonts w:hint="default" w:ascii="方正黑体_GBK" w:hAnsi="方正黑体_GBK" w:eastAsia="黑体" w:cs="方正黑体_GBK"/>
          <w:color w:val="auto"/>
          <w:sz w:val="32"/>
          <w:szCs w:val="32"/>
          <w:highlight w:val="none"/>
          <w:shd w:val="clear" w:color="auto" w:fill="auto"/>
          <w:lang w:val="en-US" w:eastAsia="zh-CN"/>
        </w:rPr>
        <w:t>第三章  安葬规定</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eastAsia" w:ascii="黑体" w:hAnsi="黑体" w:eastAsia="黑体" w:cs="黑体"/>
          <w:snapToGrid/>
          <w:kern w:val="2"/>
          <w:sz w:val="32"/>
          <w:szCs w:val="32"/>
          <w:lang w:val="en-US" w:eastAsia="zh-CN" w:bidi="ar-SA"/>
        </w:rPr>
        <w:t>第十七条 </w:t>
      </w:r>
      <w:r>
        <w:rPr>
          <w:rFonts w:hint="default" w:ascii="仿宋" w:hAnsi="仿宋" w:eastAsia="仿宋_GB2312" w:cs="仿宋"/>
          <w:snapToGrid/>
          <w:kern w:val="2"/>
          <w:sz w:val="32"/>
          <w:szCs w:val="32"/>
          <w:lang w:val="en-US" w:eastAsia="zh-CN" w:bidi="ar-SA"/>
        </w:rPr>
        <w:t> 农村公益性公墓主要为村（居）民提供骨灰安葬服务，符合安葬的范围：</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（一）具有村（社区）集体经济组织成员资格的居民；</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（二）特困人员亡故后，其骨灰可就近选择公益性公墓安葬；</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（三）“农转城”居民亡故后，其骨灰可在转户前的户口所在地或居住地的公益性公墓安葬；</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（四）辖区范围内城乡居民原户籍或居住地改变的，亡故后骨灰可就近或回原户籍所在地的公益性公墓安葬；</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（五）辖区范围内夫妻双方户籍不一致的，可选择其中一方户籍所在地公益性公墓安葬；</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（六）国有企业改制职工可选择户籍所在地公益性公墓安葬；</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（七）辖区范围内无名无主遗体火化后，在发现地公益性公墓采取节地生态安葬；</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（八）澄江市辖区内征地拆迁迁坟的，遗骸火化后可迁入原坟冢所在地或原户籍所在地的公益性公墓安葬；</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（九）原实行土葬的，家属自行平毁坟冢恢复平地且栽种上树木的，可进入公益性公墓安葬；</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（十）夫妻双方一方是国家公职人员，另一方是非国家公职人员的，国家公职人员亡故后可选择其配偶户籍所在地的公益性公墓安葬；</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（十一）国家规定的其他情形，依照相关规定执行。</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eastAsia" w:ascii="黑体" w:hAnsi="黑体" w:eastAsia="黑体" w:cs="黑体"/>
          <w:snapToGrid/>
          <w:kern w:val="2"/>
          <w:sz w:val="32"/>
          <w:szCs w:val="32"/>
          <w:lang w:val="en-US" w:eastAsia="zh-CN" w:bidi="ar-SA"/>
        </w:rPr>
        <w:t>第十八条</w:t>
      </w:r>
      <w:r>
        <w:rPr>
          <w:rFonts w:hint="default" w:ascii="仿宋" w:hAnsi="仿宋" w:eastAsia="仿宋_GB2312" w:cs="仿宋"/>
          <w:snapToGrid/>
          <w:kern w:val="2"/>
          <w:sz w:val="32"/>
          <w:szCs w:val="32"/>
          <w:lang w:val="en-US" w:eastAsia="zh-CN" w:bidi="ar-SA"/>
        </w:rPr>
        <w:t>  亡故人员入公墓安葬原则：进入公墓的亡故人员骨灰，一律按照登记的先后顺序进行安葬。安葬时，每排墓穴从左至右编定顺序号依次安葬，不得任选一个墓穴进行优先安葬，当中不能有空墓穴。禁止为健在人员购买活人墓位，不得改变墓穴占地面积、座（朝）向，不得安置超标准墓基、墓碑。</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eastAsia" w:ascii="黑体" w:hAnsi="黑体" w:eastAsia="黑体" w:cs="黑体"/>
          <w:snapToGrid/>
          <w:kern w:val="2"/>
          <w:sz w:val="32"/>
          <w:szCs w:val="32"/>
          <w:lang w:val="en-US" w:eastAsia="zh-CN" w:bidi="ar-SA"/>
        </w:rPr>
        <w:t>第十九条</w:t>
      </w:r>
      <w:r>
        <w:rPr>
          <w:rFonts w:hint="default" w:ascii="仿宋" w:hAnsi="仿宋" w:eastAsia="仿宋_GB2312" w:cs="仿宋"/>
          <w:snapToGrid/>
          <w:kern w:val="2"/>
          <w:sz w:val="32"/>
          <w:szCs w:val="32"/>
          <w:lang w:val="en-US" w:eastAsia="zh-CN" w:bidi="ar-SA"/>
        </w:rPr>
        <w:t>  农村公益性公墓实行实名登记，管理单位应当凭火化证明、购墓票据、户籍证明等材料，在亡故人员骨灰安葬后发给家属墓穴证，并将有关信息录入殡葬信息化管理系统。</w:t>
      </w:r>
    </w:p>
    <w:p>
      <w:pPr>
        <w:pStyle w:val="2"/>
        <w:pageBreakBefore w:val="0"/>
        <w:kinsoku/>
        <w:wordWrap/>
        <w:topLinePunct w:val="0"/>
        <w:bidi w:val="0"/>
        <w:spacing w:line="570" w:lineRule="exact"/>
        <w:rPr>
          <w:rFonts w:hint="default"/>
          <w:lang w:val="en-US" w:eastAsia="zh-CN"/>
        </w:rPr>
      </w:pPr>
    </w:p>
    <w:p>
      <w:pPr>
        <w:keepNext w:val="0"/>
        <w:keepLines w:val="0"/>
        <w:pageBreakBefore w:val="0"/>
        <w:widowControl w:val="0"/>
        <w:kinsoku/>
        <w:wordWrap/>
        <w:overflowPunct w:val="0"/>
        <w:topLinePunct w:val="0"/>
        <w:autoSpaceDE w:val="0"/>
        <w:autoSpaceDN w:val="0"/>
        <w:bidi w:val="0"/>
        <w:adjustRightInd w:val="0"/>
        <w:snapToGrid w:val="0"/>
        <w:spacing w:line="570" w:lineRule="exact"/>
        <w:jc w:val="center"/>
        <w:textAlignment w:val="baseline"/>
        <w:rPr>
          <w:rFonts w:hint="default" w:ascii="方正黑体_GBK" w:hAnsi="方正黑体_GBK" w:eastAsia="黑体" w:cs="方正黑体_GBK"/>
          <w:color w:val="auto"/>
          <w:sz w:val="32"/>
          <w:szCs w:val="32"/>
          <w:highlight w:val="none"/>
          <w:shd w:val="clear" w:color="auto" w:fill="auto"/>
          <w:lang w:val="en-US" w:eastAsia="zh-CN"/>
        </w:rPr>
      </w:pPr>
      <w:r>
        <w:rPr>
          <w:rFonts w:hint="default" w:ascii="方正黑体_GBK" w:hAnsi="方正黑体_GBK" w:eastAsia="黑体" w:cs="方正黑体_GBK"/>
          <w:color w:val="auto"/>
          <w:sz w:val="32"/>
          <w:szCs w:val="32"/>
          <w:highlight w:val="none"/>
          <w:shd w:val="clear" w:color="auto" w:fill="auto"/>
          <w:lang w:val="en-US" w:eastAsia="zh-CN"/>
        </w:rPr>
        <w:t>第四章  收费管理</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eastAsia" w:ascii="黑体" w:hAnsi="黑体" w:eastAsia="黑体" w:cs="黑体"/>
          <w:snapToGrid/>
          <w:kern w:val="2"/>
          <w:sz w:val="32"/>
          <w:szCs w:val="32"/>
          <w:lang w:val="en-US" w:eastAsia="zh-CN" w:bidi="ar-SA"/>
        </w:rPr>
        <w:t>第二十条</w:t>
      </w:r>
      <w:r>
        <w:rPr>
          <w:rFonts w:hint="default" w:ascii="仿宋" w:hAnsi="仿宋" w:eastAsia="仿宋_GB2312" w:cs="仿宋"/>
          <w:snapToGrid/>
          <w:kern w:val="2"/>
          <w:sz w:val="32"/>
          <w:szCs w:val="32"/>
          <w:lang w:val="en-US" w:eastAsia="zh-CN" w:bidi="ar-SA"/>
        </w:rPr>
        <w:t>  进入农村公益性公墓安葬的，由公墓管理单位按照价格行政管理部门核定的标准，收取公墓墓穴使用费和维护管理费。</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eastAsia" w:ascii="黑体" w:hAnsi="黑体" w:eastAsia="黑体" w:cs="黑体"/>
          <w:snapToGrid/>
          <w:kern w:val="2"/>
          <w:sz w:val="32"/>
          <w:szCs w:val="32"/>
          <w:lang w:val="en-US" w:eastAsia="zh-CN" w:bidi="ar-SA"/>
        </w:rPr>
        <w:t>第二十一条 </w:t>
      </w:r>
      <w:r>
        <w:rPr>
          <w:rFonts w:hint="default" w:ascii="仿宋" w:hAnsi="仿宋" w:eastAsia="仿宋_GB2312" w:cs="仿宋"/>
          <w:snapToGrid/>
          <w:kern w:val="2"/>
          <w:sz w:val="32"/>
          <w:szCs w:val="32"/>
          <w:lang w:val="en-US" w:eastAsia="zh-CN" w:bidi="ar-SA"/>
        </w:rPr>
        <w:t> 在民政部门监督下采取树葬、花葬、草坪葬、撒葬等节地生态安葬方式的，免收公墓使用费和维护管理费。</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eastAsia" w:ascii="黑体" w:hAnsi="黑体" w:eastAsia="黑体" w:cs="黑体"/>
          <w:snapToGrid/>
          <w:kern w:val="2"/>
          <w:sz w:val="32"/>
          <w:szCs w:val="32"/>
          <w:lang w:val="en-US" w:eastAsia="zh-CN" w:bidi="ar-SA"/>
        </w:rPr>
        <w:t>第二十二条</w:t>
      </w:r>
      <w:r>
        <w:rPr>
          <w:rFonts w:hint="default" w:ascii="仿宋" w:hAnsi="仿宋" w:eastAsia="仿宋_GB2312" w:cs="仿宋"/>
          <w:snapToGrid/>
          <w:kern w:val="2"/>
          <w:sz w:val="32"/>
          <w:szCs w:val="32"/>
          <w:lang w:val="en-US" w:eastAsia="zh-CN" w:bidi="ar-SA"/>
        </w:rPr>
        <w:t>  城乡特困人员死亡后进入农村公益性公墓安葬的免收公墓使用费，并给予免除前20年的维护管理费。</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eastAsia" w:ascii="黑体" w:hAnsi="黑体" w:eastAsia="黑体" w:cs="黑体"/>
          <w:snapToGrid/>
          <w:kern w:val="2"/>
          <w:sz w:val="32"/>
          <w:szCs w:val="32"/>
          <w:lang w:val="en-US" w:eastAsia="zh-CN" w:bidi="ar-SA"/>
        </w:rPr>
        <w:t>第二十三条</w:t>
      </w:r>
      <w:r>
        <w:rPr>
          <w:rFonts w:hint="default" w:ascii="仿宋" w:hAnsi="仿宋" w:eastAsia="仿宋_GB2312" w:cs="仿宋"/>
          <w:snapToGrid/>
          <w:kern w:val="2"/>
          <w:sz w:val="32"/>
          <w:szCs w:val="32"/>
          <w:lang w:val="en-US" w:eastAsia="zh-CN" w:bidi="ar-SA"/>
        </w:rPr>
        <w:t>  公墓墓穴的使用周期为20年，期满后应当办理延期手续，缴纳相关管理费用。经镇人民政府、街道办事处公告后满6个月仍未办理延期手续的，由镇人民政府、街道办事处采取生态安葬的方式进行处置。</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eastAsia" w:ascii="黑体" w:hAnsi="黑体" w:eastAsia="黑体" w:cs="黑体"/>
          <w:snapToGrid/>
          <w:kern w:val="2"/>
          <w:sz w:val="32"/>
          <w:szCs w:val="32"/>
          <w:lang w:val="en-US" w:eastAsia="zh-CN" w:bidi="ar-SA"/>
        </w:rPr>
        <w:t>第二十四条</w:t>
      </w:r>
      <w:r>
        <w:rPr>
          <w:rFonts w:hint="default" w:ascii="仿宋" w:hAnsi="仿宋" w:eastAsia="仿宋_GB2312" w:cs="仿宋"/>
          <w:snapToGrid/>
          <w:kern w:val="2"/>
          <w:sz w:val="32"/>
          <w:szCs w:val="32"/>
          <w:lang w:val="en-US" w:eastAsia="zh-CN" w:bidi="ar-SA"/>
        </w:rPr>
        <w:t>  各镇人民政府、街道办事处负责辖区内农村公益性公墓收费政策的宣传。公墓管理单位要在业务办理窗口和醒目位置设立收费公示栏，对服务项目、服务内容、收费标准、收费依据和减免收费规定等进行公示，同时公布监督举报电话，自觉接受群众监督。</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eastAsia" w:ascii="黑体" w:hAnsi="黑体" w:eastAsia="黑体" w:cs="黑体"/>
          <w:snapToGrid/>
          <w:kern w:val="2"/>
          <w:sz w:val="32"/>
          <w:szCs w:val="32"/>
          <w:lang w:val="en-US" w:eastAsia="zh-CN" w:bidi="ar-SA"/>
        </w:rPr>
        <w:t>第二十五条</w:t>
      </w:r>
      <w:r>
        <w:rPr>
          <w:rFonts w:hint="default" w:ascii="仿宋" w:hAnsi="仿宋" w:eastAsia="仿宋_GB2312" w:cs="仿宋"/>
          <w:snapToGrid/>
          <w:kern w:val="2"/>
          <w:sz w:val="32"/>
          <w:szCs w:val="32"/>
          <w:lang w:val="en-US" w:eastAsia="zh-CN" w:bidi="ar-SA"/>
        </w:rPr>
        <w:t>  各镇人民政府、街道办事处负责做好农村公益性公墓收费管理工作，收费票据统一使用增值税普通发票，实行收支“两条线”，纳入自有资金预算管理。收取的费用可用于公益性安葬（放）设施建设、管理、维护等支出。资金的收支由各镇人民政府、街道办事处负责监管，澄江市财政局、澄江市民政局、澄江市审计局、澄江市市场监督管理局负责监督检查指导。</w:t>
      </w:r>
    </w:p>
    <w:p>
      <w:pPr>
        <w:pStyle w:val="2"/>
        <w:pageBreakBefore w:val="0"/>
        <w:kinsoku/>
        <w:wordWrap/>
        <w:topLinePunct w:val="0"/>
        <w:bidi w:val="0"/>
        <w:spacing w:line="570" w:lineRule="exact"/>
        <w:rPr>
          <w:rFonts w:hint="default"/>
          <w:lang w:val="en-US" w:eastAsia="zh-CN"/>
        </w:rPr>
      </w:pPr>
    </w:p>
    <w:p>
      <w:pPr>
        <w:keepNext w:val="0"/>
        <w:keepLines w:val="0"/>
        <w:pageBreakBefore w:val="0"/>
        <w:widowControl w:val="0"/>
        <w:kinsoku/>
        <w:wordWrap/>
        <w:overflowPunct w:val="0"/>
        <w:topLinePunct w:val="0"/>
        <w:autoSpaceDE w:val="0"/>
        <w:autoSpaceDN w:val="0"/>
        <w:bidi w:val="0"/>
        <w:adjustRightInd w:val="0"/>
        <w:snapToGrid w:val="0"/>
        <w:spacing w:line="570" w:lineRule="exact"/>
        <w:jc w:val="center"/>
        <w:textAlignment w:val="baseline"/>
        <w:rPr>
          <w:rFonts w:hint="default" w:ascii="方正黑体_GBK" w:hAnsi="方正黑体_GBK" w:eastAsia="黑体" w:cs="方正黑体_GBK"/>
          <w:color w:val="auto"/>
          <w:sz w:val="32"/>
          <w:szCs w:val="32"/>
          <w:highlight w:val="none"/>
          <w:shd w:val="clear" w:color="auto" w:fill="auto"/>
          <w:lang w:val="en-US" w:eastAsia="zh-CN"/>
        </w:rPr>
      </w:pPr>
      <w:r>
        <w:rPr>
          <w:rFonts w:hint="default" w:ascii="方正黑体_GBK" w:hAnsi="方正黑体_GBK" w:eastAsia="黑体" w:cs="方正黑体_GBK"/>
          <w:color w:val="auto"/>
          <w:sz w:val="32"/>
          <w:szCs w:val="32"/>
          <w:highlight w:val="none"/>
          <w:shd w:val="clear" w:color="auto" w:fill="auto"/>
          <w:lang w:val="en-US" w:eastAsia="zh-CN"/>
        </w:rPr>
        <w:t>第五章  监督管理</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eastAsia" w:ascii="黑体" w:hAnsi="黑体" w:eastAsia="黑体" w:cs="黑体"/>
          <w:snapToGrid/>
          <w:kern w:val="2"/>
          <w:sz w:val="32"/>
          <w:szCs w:val="32"/>
          <w:lang w:val="en-US" w:eastAsia="zh-CN" w:bidi="ar-SA"/>
        </w:rPr>
        <w:t>第二十六条</w:t>
      </w:r>
      <w:r>
        <w:rPr>
          <w:rFonts w:hint="default" w:ascii="仿宋" w:hAnsi="仿宋" w:eastAsia="仿宋_GB2312" w:cs="仿宋"/>
          <w:snapToGrid/>
          <w:kern w:val="2"/>
          <w:sz w:val="32"/>
          <w:szCs w:val="32"/>
          <w:lang w:val="en-US" w:eastAsia="zh-CN" w:bidi="ar-SA"/>
        </w:rPr>
        <w:t>  农村公益性公墓由各镇人民政府、街道办事处或村（社区）负责管理，澄江市发展和改革局、澄江市自然资源局、澄江市住房和城乡建设局、玉溪市生态环境局澄江分局、澄江市林业和草原局、澄江市抚仙湖管理局、澄江市市场监督管理局等部门做好行业监管工作。</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eastAsia" w:ascii="黑体" w:hAnsi="黑体" w:eastAsia="黑体" w:cs="黑体"/>
          <w:snapToGrid/>
          <w:kern w:val="2"/>
          <w:sz w:val="32"/>
          <w:szCs w:val="32"/>
          <w:lang w:val="en-US" w:eastAsia="zh-CN" w:bidi="ar-SA"/>
        </w:rPr>
        <w:t>第二十七条</w:t>
      </w:r>
      <w:r>
        <w:rPr>
          <w:rFonts w:hint="default" w:ascii="仿宋" w:hAnsi="仿宋" w:eastAsia="仿宋_GB2312" w:cs="仿宋"/>
          <w:snapToGrid/>
          <w:kern w:val="2"/>
          <w:sz w:val="32"/>
          <w:szCs w:val="32"/>
          <w:lang w:val="en-US" w:eastAsia="zh-CN" w:bidi="ar-SA"/>
        </w:rPr>
        <w:t>  农村公益性公墓要突出公益属性，不得从事任何以营利为目的的经营性活动或开展租赁、抵押、招商引资、股份制合作等商业活动。</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eastAsia" w:ascii="黑体" w:hAnsi="黑体" w:eastAsia="黑体" w:cs="黑体"/>
          <w:b w:val="0"/>
          <w:bCs w:val="0"/>
          <w:snapToGrid/>
          <w:kern w:val="2"/>
          <w:sz w:val="32"/>
          <w:szCs w:val="32"/>
          <w:lang w:val="en-US" w:eastAsia="zh-CN" w:bidi="ar-SA"/>
        </w:rPr>
        <w:t>第二十八条</w:t>
      </w:r>
      <w:r>
        <w:rPr>
          <w:rFonts w:hint="default" w:ascii="仿宋" w:hAnsi="仿宋" w:eastAsia="仿宋_GB2312" w:cs="仿宋"/>
          <w:snapToGrid/>
          <w:kern w:val="2"/>
          <w:sz w:val="32"/>
          <w:szCs w:val="32"/>
          <w:lang w:val="en-US" w:eastAsia="zh-CN" w:bidi="ar-SA"/>
        </w:rPr>
        <w:t>  管理单位不得擅自改变农村公益性公墓墓地的用途。</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eastAsia" w:ascii="黑体" w:hAnsi="黑体" w:eastAsia="黑体" w:cs="黑体"/>
          <w:b w:val="0"/>
          <w:bCs w:val="0"/>
          <w:snapToGrid/>
          <w:kern w:val="2"/>
          <w:sz w:val="32"/>
          <w:szCs w:val="32"/>
          <w:lang w:val="en-US" w:eastAsia="zh-CN" w:bidi="ar-SA"/>
        </w:rPr>
        <w:t>第二十九条</w:t>
      </w:r>
      <w:r>
        <w:rPr>
          <w:rFonts w:hint="default" w:ascii="仿宋" w:hAnsi="仿宋" w:eastAsia="仿宋_GB2312" w:cs="仿宋"/>
          <w:snapToGrid/>
          <w:kern w:val="2"/>
          <w:sz w:val="32"/>
          <w:szCs w:val="32"/>
          <w:lang w:val="en-US" w:eastAsia="zh-CN" w:bidi="ar-SA"/>
        </w:rPr>
        <w:t>  管理单位应加强农村公益公墓管理，维护公墓秩序，原则上每200个墓穴可配备1名公墓管理人员，各管理单位可根据各地实际情况确定管理人员数量。公墓管理人员应当严格履行职责，提供优质、文明、贴心的服务，进行日常管理、维护、卫生、垃圾清运、绿化，保持环境优美、肃穆和墓穴的完好、整洁。要加强日常巡查，防止损毁破坏设施的情况发生。公墓内应当配备必要的消防设施设备和安全防护设备，确保发生情况及时处置。</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eastAsia" w:ascii="黑体" w:hAnsi="黑体" w:eastAsia="黑体" w:cs="黑体"/>
          <w:b w:val="0"/>
          <w:bCs w:val="0"/>
          <w:snapToGrid/>
          <w:kern w:val="2"/>
          <w:sz w:val="32"/>
          <w:szCs w:val="32"/>
          <w:lang w:val="en-US" w:eastAsia="zh-CN" w:bidi="ar-SA"/>
        </w:rPr>
        <w:t>第三十条</w:t>
      </w:r>
      <w:r>
        <w:rPr>
          <w:rFonts w:hint="default" w:ascii="仿宋" w:hAnsi="仿宋" w:eastAsia="仿宋_GB2312" w:cs="仿宋"/>
          <w:snapToGrid/>
          <w:kern w:val="2"/>
          <w:sz w:val="32"/>
          <w:szCs w:val="32"/>
          <w:lang w:val="en-US" w:eastAsia="zh-CN" w:bidi="ar-SA"/>
        </w:rPr>
        <w:t>  管理单位应当建立相关管理制度，安排专人负责财务、档案管理，对墓穴使用情况、收费票据等相关材料档案进行永久保存。</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eastAsia" w:ascii="黑体" w:hAnsi="黑体" w:eastAsia="黑体" w:cs="黑体"/>
          <w:b w:val="0"/>
          <w:bCs w:val="0"/>
          <w:snapToGrid/>
          <w:kern w:val="2"/>
          <w:sz w:val="32"/>
          <w:szCs w:val="32"/>
          <w:lang w:val="en-US" w:eastAsia="zh-CN" w:bidi="ar-SA"/>
        </w:rPr>
        <w:t>第三十一条</w:t>
      </w:r>
      <w:r>
        <w:rPr>
          <w:rFonts w:hint="default" w:ascii="仿宋" w:hAnsi="仿宋" w:eastAsia="仿宋_GB2312" w:cs="仿宋"/>
          <w:snapToGrid/>
          <w:kern w:val="2"/>
          <w:sz w:val="32"/>
          <w:szCs w:val="32"/>
          <w:lang w:val="en-US" w:eastAsia="zh-CN" w:bidi="ar-SA"/>
        </w:rPr>
        <w:t>  未经批准，不得擅自停止农村公益性公墓的管理和服务。</w:t>
      </w:r>
    </w:p>
    <w:p>
      <w:pPr>
        <w:pStyle w:val="2"/>
        <w:pageBreakBefore w:val="0"/>
        <w:kinsoku/>
        <w:wordWrap/>
        <w:topLinePunct w:val="0"/>
        <w:bidi w:val="0"/>
        <w:spacing w:line="570" w:lineRule="exact"/>
        <w:rPr>
          <w:rFonts w:hint="default"/>
          <w:lang w:val="en-US" w:eastAsia="zh-CN"/>
        </w:rPr>
      </w:pPr>
    </w:p>
    <w:p>
      <w:pPr>
        <w:keepNext w:val="0"/>
        <w:keepLines w:val="0"/>
        <w:pageBreakBefore w:val="0"/>
        <w:widowControl w:val="0"/>
        <w:kinsoku/>
        <w:wordWrap/>
        <w:overflowPunct w:val="0"/>
        <w:topLinePunct w:val="0"/>
        <w:autoSpaceDE w:val="0"/>
        <w:autoSpaceDN w:val="0"/>
        <w:bidi w:val="0"/>
        <w:adjustRightInd w:val="0"/>
        <w:snapToGrid w:val="0"/>
        <w:spacing w:line="570" w:lineRule="exact"/>
        <w:jc w:val="center"/>
        <w:textAlignment w:val="baseline"/>
        <w:rPr>
          <w:rFonts w:hint="default" w:ascii="方正黑体_GBK" w:hAnsi="方正黑体_GBK" w:eastAsia="黑体" w:cs="方正黑体_GBK"/>
          <w:color w:val="auto"/>
          <w:sz w:val="32"/>
          <w:szCs w:val="32"/>
          <w:highlight w:val="none"/>
          <w:shd w:val="clear" w:color="auto" w:fill="auto"/>
          <w:lang w:val="en-US" w:eastAsia="zh-CN"/>
        </w:rPr>
      </w:pPr>
      <w:r>
        <w:rPr>
          <w:rFonts w:hint="default" w:ascii="方正黑体_GBK" w:hAnsi="方正黑体_GBK" w:eastAsia="黑体" w:cs="方正黑体_GBK"/>
          <w:color w:val="auto"/>
          <w:sz w:val="32"/>
          <w:szCs w:val="32"/>
          <w:highlight w:val="none"/>
          <w:shd w:val="clear" w:color="auto" w:fill="auto"/>
          <w:lang w:val="en-US" w:eastAsia="zh-CN"/>
        </w:rPr>
        <w:t>第六章  法律责任</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eastAsia" w:ascii="黑体" w:hAnsi="黑体" w:eastAsia="黑体" w:cs="黑体"/>
          <w:b w:val="0"/>
          <w:bCs w:val="0"/>
          <w:snapToGrid/>
          <w:kern w:val="2"/>
          <w:sz w:val="32"/>
          <w:szCs w:val="32"/>
          <w:lang w:val="en-US" w:eastAsia="zh-CN" w:bidi="ar-SA"/>
        </w:rPr>
        <w:t>第三十二条</w:t>
      </w:r>
      <w:r>
        <w:rPr>
          <w:rFonts w:hint="default" w:ascii="仿宋" w:hAnsi="仿宋" w:eastAsia="仿宋_GB2312" w:cs="仿宋"/>
          <w:snapToGrid/>
          <w:kern w:val="2"/>
          <w:sz w:val="32"/>
          <w:szCs w:val="32"/>
          <w:lang w:val="en-US" w:eastAsia="zh-CN" w:bidi="ar-SA"/>
        </w:rPr>
        <w:t>  对违反公墓管理法律法规及本办法的行为，按照《中华人民共和国价格法》《殡葬管理条例》《云南省殡葬管理条例》等法律法规及相关规定处理。</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eastAsia" w:ascii="黑体" w:hAnsi="黑体" w:eastAsia="黑体" w:cs="黑体"/>
          <w:b w:val="0"/>
          <w:bCs w:val="0"/>
          <w:snapToGrid/>
          <w:kern w:val="2"/>
          <w:sz w:val="32"/>
          <w:szCs w:val="32"/>
          <w:lang w:val="en-US" w:eastAsia="zh-CN" w:bidi="ar-SA"/>
        </w:rPr>
        <w:t>第三十三条</w:t>
      </w:r>
      <w:r>
        <w:rPr>
          <w:rFonts w:hint="default" w:ascii="仿宋" w:hAnsi="仿宋" w:eastAsia="仿宋_GB2312" w:cs="仿宋"/>
          <w:snapToGrid/>
          <w:kern w:val="2"/>
          <w:sz w:val="32"/>
          <w:szCs w:val="32"/>
          <w:lang w:val="en-US" w:eastAsia="zh-CN" w:bidi="ar-SA"/>
        </w:rPr>
        <w:t>  国家机关及其工作人员在农村公益性公墓建设、管理和收费过程中玩忽职守、滥用职权、徇私舞弊的，由上级行政管理部门或者同级纪检监察机关对主要负责人和直接责任人依纪依法给予相应处分；构成犯罪的，依法追究刑事责任。</w:t>
      </w:r>
    </w:p>
    <w:p>
      <w:pPr>
        <w:pStyle w:val="2"/>
        <w:pageBreakBefore w:val="0"/>
        <w:kinsoku/>
        <w:wordWrap/>
        <w:topLinePunct w:val="0"/>
        <w:bidi w:val="0"/>
        <w:spacing w:line="570" w:lineRule="exact"/>
        <w:rPr>
          <w:rFonts w:hint="default"/>
          <w:lang w:val="en-US" w:eastAsia="zh-CN"/>
        </w:rPr>
      </w:pPr>
    </w:p>
    <w:p>
      <w:pPr>
        <w:keepNext w:val="0"/>
        <w:keepLines w:val="0"/>
        <w:pageBreakBefore w:val="0"/>
        <w:widowControl w:val="0"/>
        <w:kinsoku/>
        <w:wordWrap/>
        <w:overflowPunct w:val="0"/>
        <w:topLinePunct w:val="0"/>
        <w:autoSpaceDE w:val="0"/>
        <w:autoSpaceDN w:val="0"/>
        <w:bidi w:val="0"/>
        <w:adjustRightInd w:val="0"/>
        <w:snapToGrid w:val="0"/>
        <w:spacing w:line="570" w:lineRule="exact"/>
        <w:jc w:val="center"/>
        <w:textAlignment w:val="baseline"/>
        <w:rPr>
          <w:rFonts w:hint="default" w:ascii="方正黑体_GBK" w:hAnsi="方正黑体_GBK" w:eastAsia="黑体" w:cs="方正黑体_GBK"/>
          <w:color w:val="auto"/>
          <w:sz w:val="32"/>
          <w:szCs w:val="32"/>
          <w:highlight w:val="none"/>
          <w:shd w:val="clear" w:color="auto" w:fill="auto"/>
          <w:lang w:val="en-US" w:eastAsia="zh-CN"/>
        </w:rPr>
      </w:pPr>
      <w:r>
        <w:rPr>
          <w:rFonts w:hint="default" w:ascii="方正黑体_GBK" w:hAnsi="方正黑体_GBK" w:eastAsia="黑体" w:cs="方正黑体_GBK"/>
          <w:color w:val="auto"/>
          <w:sz w:val="32"/>
          <w:szCs w:val="32"/>
          <w:highlight w:val="none"/>
          <w:shd w:val="clear" w:color="auto" w:fill="auto"/>
          <w:lang w:val="en-US" w:eastAsia="zh-CN"/>
        </w:rPr>
        <w:t>第七章  附则</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eastAsia" w:ascii="黑体" w:hAnsi="黑体" w:eastAsia="黑体" w:cs="黑体"/>
          <w:b w:val="0"/>
          <w:bCs w:val="0"/>
          <w:snapToGrid/>
          <w:kern w:val="2"/>
          <w:sz w:val="32"/>
          <w:szCs w:val="32"/>
          <w:lang w:val="en-US" w:eastAsia="zh-CN" w:bidi="ar-SA"/>
        </w:rPr>
        <w:t>第三十四条</w:t>
      </w:r>
      <w:r>
        <w:rPr>
          <w:rFonts w:hint="default" w:ascii="仿宋" w:hAnsi="仿宋" w:eastAsia="仿宋_GB2312" w:cs="仿宋"/>
          <w:snapToGrid/>
          <w:kern w:val="2"/>
          <w:sz w:val="32"/>
          <w:szCs w:val="32"/>
          <w:lang w:val="en-US" w:eastAsia="zh-CN" w:bidi="ar-SA"/>
        </w:rPr>
        <w:t>  革命烈士公墓、国家规定允许土葬的少数民族农村公益性公墓、被有关部门认定具有历史、艺术、科学价值的古墓管理，依照国家和省、市有关规定执行。</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_GB2312" w:cs="仿宋"/>
          <w:snapToGrid/>
          <w:kern w:val="2"/>
          <w:sz w:val="32"/>
          <w:szCs w:val="32"/>
          <w:lang w:val="en-US" w:eastAsia="zh-CN" w:bidi="ar-SA"/>
        </w:rPr>
      </w:pPr>
      <w:r>
        <w:rPr>
          <w:rFonts w:hint="eastAsia" w:ascii="黑体" w:hAnsi="黑体" w:eastAsia="黑体" w:cs="黑体"/>
          <w:b w:val="0"/>
          <w:bCs w:val="0"/>
          <w:snapToGrid/>
          <w:kern w:val="2"/>
          <w:sz w:val="32"/>
          <w:szCs w:val="32"/>
          <w:lang w:val="en-US" w:eastAsia="zh-CN" w:bidi="ar-SA"/>
        </w:rPr>
        <w:t>第三十五条</w:t>
      </w:r>
      <w:r>
        <w:rPr>
          <w:rFonts w:hint="default" w:ascii="仿宋" w:hAnsi="仿宋" w:eastAsia="仿宋_GB2312" w:cs="仿宋"/>
          <w:snapToGrid/>
          <w:kern w:val="2"/>
          <w:sz w:val="32"/>
          <w:szCs w:val="32"/>
          <w:lang w:val="en-US" w:eastAsia="zh-CN" w:bidi="ar-SA"/>
        </w:rPr>
        <w:t>  农村公益性公墓墓穴使用费和维护管理费实行政府指导价管理，由澄江市发展和改革局会同澄江市民政局制定具体价格和收费标准，并报澄江市人民政府批准后执行。</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_GB2312" w:cs="仿宋"/>
          <w:szCs w:val="32"/>
          <w:lang w:val="en-US" w:eastAsia="zh-CN"/>
        </w:rPr>
      </w:pPr>
      <w:r>
        <w:rPr>
          <w:rFonts w:hint="eastAsia" w:ascii="黑体" w:hAnsi="黑体" w:eastAsia="黑体" w:cs="黑体"/>
          <w:b w:val="0"/>
          <w:bCs w:val="0"/>
          <w:snapToGrid/>
          <w:kern w:val="2"/>
          <w:sz w:val="32"/>
          <w:szCs w:val="32"/>
          <w:lang w:val="en-US" w:eastAsia="zh-CN" w:bidi="ar-SA"/>
        </w:rPr>
        <w:t>第三十六条</w:t>
      </w:r>
      <w:r>
        <w:rPr>
          <w:rFonts w:hint="default" w:ascii="仿宋" w:hAnsi="仿宋" w:eastAsia="仿宋_GB2312" w:cs="仿宋"/>
          <w:snapToGrid/>
          <w:kern w:val="2"/>
          <w:sz w:val="32"/>
          <w:szCs w:val="32"/>
          <w:lang w:val="en-US" w:eastAsia="zh-CN" w:bidi="ar-SA"/>
        </w:rPr>
        <w:t>  本办法自2025年5月25日起执行。执行过程中，上级出台的相关政策与本规定不一致的，以上级政策为准。</w:t>
      </w:r>
    </w:p>
    <w:sectPr>
      <w:headerReference r:id="rId3" w:type="default"/>
      <w:footerReference r:id="rId4" w:type="default"/>
      <w:pgSz w:w="11906" w:h="16838"/>
      <w:pgMar w:top="1440" w:right="1800" w:bottom="1440" w:left="1800" w:header="851" w:footer="283"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 w:name="NEU-BZ">
    <w:altName w:val="等线"/>
    <w:panose1 w:val="02010600010101010101"/>
    <w:charset w:val="00"/>
    <w:family w:val="auto"/>
    <w:pitch w:val="default"/>
    <w:sig w:usb0="00000000" w:usb1="00000000"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auto"/>
    <w:pitch w:val="default"/>
    <w:sig w:usb0="00000001" w:usb1="08000000" w:usb2="00000000" w:usb3="00000000" w:csb0="00040000" w:csb1="00000000"/>
  </w:font>
  <w:font w:name="国标黑体">
    <w:panose1 w:val="02000500000000000000"/>
    <w:charset w:val="86"/>
    <w:family w:val="auto"/>
    <w:pitch w:val="default"/>
    <w:sig w:usb0="00000001" w:usb1="08000000" w:usb2="00000000"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-361950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28.5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P+yjdDVAAAACAEAAA8AAABkcnMvZG93bnJldi54bWxNj81OwzAQhO9IvIO1&#10;SNxaOy0/UYhTiYpwRKLhwNGNlyQQryPbTcPbs5zg9q1mNDtT7hY3ihlDHDxpyNYKBFLr7UCdhrem&#10;XuUgYjJkzegJNXxjhF11eVGawvozveJ8SJ3gEIqF0dCnNBVSxrZHZ+LaT0isffjgTOIzdNIGc+Zw&#10;N8qNUnfSmYH4Q28m3PfYfh1OTsO+bpowYwzjOz7X28+Xxxt8WrS+vsrUA4iES/ozw299rg4Vdzr6&#10;E9koRg08JGlY3d4zsLzJc4YjwzZTIKtS/h9Q/QBQSwMEFAAAAAgAh07iQPXvojAdAgAAKQQAAA4A&#10;AABkcnMvZTJvRG9jLnhtbK1TzY7TMBC+I/EOlu80aStWVdV0VXZVhFSxKy2Is+vYTSTHtmy3SXkA&#10;eANOXLjzXH2O/ewmLQJOiIs94xnPzzffLG67RpGDcL42uqDjUU6J0NyUtd4V9OOH9asZJT4wXTJl&#10;tCjoUXh6u3z5YtHauZiYyqhSOIIg2s9bW9AqBDvPMs8r0TA/MlZoGKVxDQtQ3S4rHWsRvVHZJM9v&#10;sta40jrDhfd4vT8b6TLFl1Lw8CClF4GogqK2kE6Xzm08s+WCzXeO2armfRnsH6poWK2R9BLqngVG&#10;9q7+I1RTc2e8kWHETZMZKWsuUg/oZpz/1s1TxaxIvQAcby8w+f8Xlr8/PDpSlwWdUqJZgxGdvn09&#10;ff95+vGFTCM8rfVzeD1Z+IXujekKGtxeDCaP99h4J10Tb7RE4AKsjxd8RRcIx+N4NpnNcpg4bIOC&#10;FNn1u3U+vBWmIVEoqMMAE67ssPHh7Dq4xGzarGul0hCVJm1Bb6av8/ThYkFwpZEj9nEuNkqh23Z9&#10;c1tTHtGbM2dyeMvXNZJvmA+PzIENKBgMDw84pDJIYnqJksq4z397j/4YEqyUtGBXQTXoT4l6pzG8&#10;SMRBcIOwHQS9b+4M6DrG5lieRHxwQQ2idKb5BNqvYg7JlEdgpjmyYTSDeBeg9UasDxer1UXfW1fv&#10;qutnUNGysNFPlvfDjdh6u9oH4Jtgj5idgeqhBB/T4PrdiYT/VU9e1w1fP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D/so3Q1QAAAAgBAAAPAAAAAAAAAAEAIAAAADgAAABkcnMvZG93bnJldi54bWxQ&#10;SwECFAAUAAAACACHTuJA9e+iMB0CAAApBAAADgAAAAAAAAABACAAAAA6AQAAZHJzL2Uyb0RvYy54&#10;bWxQSwUGAAAAAAYABgBZAQAAyQUAAAAA&#10;">
              <v:fill on="f" focussize="0,0"/>
              <v:stroke on="f" weight="0.5pt"/>
              <v:imagedata o:title=""/>
              <o:lock v:ext="edit" aspectratio="f"/>
              <v:textbox inset="0mm,0mm,0mm,0mm" style="mso-fit-shape-to-text:t;">
                <w:txbxContent>
                  <w:p>
                    <w:pPr>
                      <w:pStyle w:val="6"/>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ascii="宋体" w:hAnsi="宋体" w:eastAsia="宋体" w:cs="宋体"/>
        <w:b/>
        <w:bCs/>
        <w:color w:val="005192"/>
        <w:sz w:val="28"/>
        <w:szCs w:val="44"/>
        <w:lang w:val="en-US" w:eastAsia="zh-CN"/>
      </w:rPr>
      <w:t>澄江市人民政府发</w:t>
    </w:r>
    <w:r>
      <w:rPr>
        <w:rFonts w:hint="eastAsia" w:ascii="宋体" w:hAnsi="宋体" w:eastAsia="宋体" w:cs="宋体"/>
        <w:b/>
        <w:bCs/>
        <w:color w:val="005192"/>
        <w:sz w:val="28"/>
        <w:szCs w:val="44"/>
        <w:lang w:val="en-US" w:eastAsia="zh-CN"/>
      </w:rPr>
      <mc:AlternateContent>
        <mc:Choice Requires="wps">
          <w:drawing>
            <wp:anchor distT="0" distB="0" distL="114300" distR="114300" simplePos="0" relativeHeight="251661312" behindDoc="0" locked="0" layoutInCell="1" allowOverlap="1">
              <wp:simplePos x="0" y="0"/>
              <wp:positionH relativeFrom="column">
                <wp:posOffset>-23495</wp:posOffset>
              </wp:positionH>
              <wp:positionV relativeFrom="paragraph">
                <wp:posOffset>-144780</wp:posOffset>
              </wp:positionV>
              <wp:extent cx="5208905" cy="12700"/>
              <wp:effectExtent l="0" t="0" r="0" b="0"/>
              <wp:wrapNone/>
              <wp:docPr id="2" name="直接连接符 2"/>
              <wp:cNvGraphicFramePr/>
              <a:graphic xmlns:a="http://schemas.openxmlformats.org/drawingml/2006/main">
                <a:graphicData uri="http://schemas.microsoft.com/office/word/2010/wordprocessingShape">
                  <wps:wsp>
                    <wps:cNvCnPr/>
                    <wps:spPr>
                      <a:xfrm>
                        <a:off x="1003935" y="1243330"/>
                        <a:ext cx="5208905" cy="12700"/>
                      </a:xfrm>
                      <a:prstGeom prst="line">
                        <a:avLst/>
                      </a:prstGeom>
                      <a:noFill/>
                      <a:ln w="22225" cap="flat" cmpd="sng" algn="ctr">
                        <a:solidFill>
                          <a:srgbClr val="005192"/>
                        </a:solidFill>
                        <a:prstDash val="solid"/>
                      </a:ln>
                      <a:effectLst/>
                    </wps:spPr>
                    <wps:bodyPr/>
                  </wps:wsp>
                </a:graphicData>
              </a:graphic>
            </wp:anchor>
          </w:drawing>
        </mc:Choice>
        <mc:Fallback>
          <w:pict>
            <v:line id="_x0000_s1026" o:spid="_x0000_s1026" o:spt="20" style="position:absolute;left:0pt;margin-left:-1.85pt;margin-top:-11.4pt;height:1pt;width:410.15pt;z-index:251661312;mso-width-relative:page;mso-height-relative:page;" filled="f" stroked="t" coordsize="21600,21600" o:gfxdata="UEsFBgAAAAAAAAAAAAAAAAAAAAAAAFBLAwQKAAAAAACHTuJAAAAAAAAAAAAAAAAABAAAAGRycy9Q&#10;SwMEFAAAAAgAh07iQKrkGtXVAAAACgEAAA8AAABkcnMvZG93bnJldi54bWxNj8FOwzAQRO9I/IO1&#10;SNxaO0EKUYhTCQp3GvgAN16S0Hgdxa4b/p7tCU6r3RnNvql3q5tEwiWMnjRkWwUCqfN2pF7D58fb&#10;pgQRoiFrJk+o4QcD7Jrbm9pU1l/ogKmNveAQCpXRMMQ4V1KGbkBnwtbPSKx9+cWZyOvSS7uYC4e7&#10;SeZKFdKZkfjDYGZ8GbA7tWenAfcpK9P7s2tPct8nfB0P63er9f1dpp5ARFzjnxmu+IwODTMd/Zls&#10;EJOGzcMjO3nmOVdgQ5kVBYjj9aJKkE0t/1dofgFQSwMEFAAAAAgAh07iQA1XUYTSAQAAawMAAA4A&#10;AABkcnMvZTJvRG9jLnhtbK1Ty67TMBDdI/EPlvc0bkrhNmp6F7e6bBBUAj5g6tiJJb9km6b9CX4A&#10;iR2sWLLnb7h8BmM33AfsEFlMZuLjMz7Hk/Xl0WhyECEqZ1s6nzFKhOWuU7Zv6bu3108uKIkJbAfa&#10;WdHSk4j0cvP40Xr0jajd4HQnAkESG5vRt3RIyTdVFfkgDMSZ88LionTBQMIy9FUXYER2o6uasWfV&#10;6ELng+MiRvy6PS/STeGXUvD0WsooEtEtxbOlEkOJ+xyrzRqaPoAfFJ+OAf9wCgPKYtNbqi0kIO+D&#10;+ovKKB5cdDLNuDOVk1JxUTSgmjn7Q82bAbwoWtCc6G9tiv+Plr867AJRXUtrSiwYvKKbj99+fPj8&#10;8/snjDdfv5A6mzT62CD2yu7CVEW/C1nxUQaT36iFHHEEGFusFktKTpjXTxeLxWSyOCbCEbCs2cWK&#10;IYAXxHNW1qs7Ih9ieiGcITlpqVY2ewANHF7GhM0R+huSP1t3rbQu96gtGVEIPpkecJykhoSp8Sgw&#10;2p4S0D3OKU+hUEanVZe3Z6IY+v2VDuQAeVbYcr4qyrHdA1juvYU4nHFlKRuEMG0zjShTNx0123Y2&#10;Kmd7152Kf1Wu8EbLtmn68sjcrzG//49sfg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WAAAAZHJzL1BLAQIUABQAAAAIAIdO4kCq5BrV1QAA&#10;AAoBAAAPAAAAAAAAAAEAIAAAADgAAABkcnMvZG93bnJldi54bWxQSwECFAAUAAAACACHTuJADVdR&#10;hNIBAABrAwAADgAAAAAAAAABACAAAAA6AQAAZHJzL2Uyb0RvYy54bWxQSwUGAAAAAAYABgBZAQAA&#10;fgUAAAAA&#10;">
              <v:fill on="f" focussize="0,0"/>
              <v:stroke weight="1.75pt" color="#005192" joinstyle="round"/>
              <v:imagedata o:title=""/>
              <o:lock v:ext="edit" aspectratio="f"/>
            </v:line>
          </w:pict>
        </mc:Fallback>
      </mc:AlternateContent>
    </w:r>
    <w:r>
      <w:rPr>
        <w:rFonts w:hint="eastAsia" w:ascii="宋体" w:hAnsi="宋体" w:eastAsia="宋体" w:cs="宋体"/>
        <w:b/>
        <w:bCs/>
        <w:color w:val="005192"/>
        <w:sz w:val="28"/>
        <w:szCs w:val="44"/>
        <w:lang w:val="en-US" w:eastAsia="zh-CN"/>
      </w:rPr>
      <w:t>布</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pageBreakBefore w:val="0"/>
      <w:widowControl w:val="0"/>
      <w:kinsoku/>
      <w:wordWrap/>
      <w:overflowPunct/>
      <w:topLinePunct w:val="0"/>
      <w:autoSpaceDE/>
      <w:autoSpaceDN/>
      <w:bidi w:val="0"/>
      <w:adjustRightInd/>
      <w:snapToGrid w:val="0"/>
      <w:jc w:val="left"/>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1" name="图片 1"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true"/>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lang w:eastAsia="zh-CN"/>
      </w:rPr>
      <w:t>澄江市</w:t>
    </w:r>
    <w:r>
      <w:rPr>
        <w:rFonts w:hint="eastAsia" w:ascii="宋体" w:hAnsi="宋体" w:eastAsia="宋体" w:cs="宋体"/>
        <w:b/>
        <w:bCs/>
        <w:color w:val="005192"/>
        <w:sz w:val="32"/>
        <w:lang w:val="en-US" w:eastAsia="zh-CN"/>
      </w:rPr>
      <w:t>人民政府行政规范性文件</w:t>
    </w:r>
  </w:p>
  <w:p>
    <w:pPr>
      <w:pStyle w:val="7"/>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118745</wp:posOffset>
              </wp:positionV>
              <wp:extent cx="5255895" cy="5715"/>
              <wp:effectExtent l="0" t="0" r="0" b="0"/>
              <wp:wrapNone/>
              <wp:docPr id="4" name="直接连接符 4"/>
              <wp:cNvGraphicFramePr/>
              <a:graphic xmlns:a="http://schemas.openxmlformats.org/drawingml/2006/main">
                <a:graphicData uri="http://schemas.microsoft.com/office/word/2010/wordprocessingShape">
                  <wps:wsp>
                    <wps:cNvCnPr/>
                    <wps:spPr>
                      <a:xfrm>
                        <a:off x="1003935" y="1243330"/>
                        <a:ext cx="5255895" cy="5715"/>
                      </a:xfrm>
                      <a:prstGeom prst="line">
                        <a:avLst/>
                      </a:prstGeom>
                      <a:noFill/>
                      <a:ln w="22225" cap="flat" cmpd="sng" algn="ctr">
                        <a:solidFill>
                          <a:srgbClr val="005192"/>
                        </a:solidFill>
                        <a:prstDash val="solid"/>
                      </a:ln>
                      <a:effectLst/>
                    </wps:spPr>
                    <wps:bodyPr/>
                  </wps:wsp>
                </a:graphicData>
              </a:graphic>
            </wp:anchor>
          </w:drawing>
        </mc:Choice>
        <mc:Fallback>
          <w:pict>
            <v:line id="_x0000_s1026" o:spid="_x0000_s1026" o:spt="20" style="position:absolute;left:0pt;margin-left:1.95pt;margin-top:9.35pt;height:0.45pt;width:413.85pt;z-index:251659264;mso-width-relative:page;mso-height-relative:page;" filled="f" stroked="t" coordsize="21600,21600" o:gfxdata="UEsFBgAAAAAAAAAAAAAAAAAAAAAAAFBLAwQKAAAAAACHTuJAAAAAAAAAAAAAAAAABAAAAGRycy9Q&#10;SwMEFAAAAAgAh07iQNNDG6bSAAAABwEAAA8AAABkcnMvZG93bnJldi54bWxNjk1OwzAQhfdI3MGa&#10;St1RJ1QKaYhTCdruaeAAbjwkaeNxFLtuenuGFSzfj977yu1sBxFx8r0jBekqAYHUONNTq+Dr8/CU&#10;g/BBk9GDI1RwRw/b6vGh1IVxNzpirEMreIR8oRV0IYyFlL7p0Gq/ciMSZ99usjqwnFppJn3jcTvI&#10;5yTJpNU98UOnR3zvsLnUV6sAdzHN48ebrS9y10bc98f5XCu1XKTJK4iAc/grwy8+o0PFTCd3JePF&#10;oGC94SLb+QsIjvN1moE4sbHJQFal/M9f/QBQSwMEFAAAAAgAh07iQH6tc9vSAQAAagMAAA4AAABk&#10;cnMvZTJvRG9jLnhtbK1TzY7TMBC+I/EOlu80adrANmq6h62WC4JKsA8wdezEkv9km6Z9CV4AiRuc&#10;OHLnbXZ5jB27YVnghshhMmN//jzfl8n68qgVOXAfpDUtnc9KSrhhtpOmb+nNu+tnF5SECKYDZQ1v&#10;6YkHerl5+mQ9uoZXdrCq454giQnN6Fo6xOiaoghs4BrCzDpucFNYryFi6fui8zAiu1ZFVZbPi9H6&#10;znnLeAi4uj1v0k3mF4Kz+EaIwCNRLcXeYo4+x32KxWYNTe/BDZJNbcA/dKFBGrz0gWoLEch7L/+i&#10;0pJ5G6yIM2Z1YYWQjGcNqGZe/qHm7QCOZy1oTnAPNoX/R8teH3aeyK6lS0oMaPxEdx+/3X74/OP7&#10;J4x3X7+QZTJpdKFB7JXZ+akKbueT4qPwOr1RCzniCJTlYrWoKTlhXi0Xi8VkMj9GwhBQV3V9sUIA&#10;Q0T9Yl4n+uIXj/MhvuRWk5S0VEmTLIAGDq9CPEN/QtKysddSKVyHRhkytrTCJ7EDTpNQEDHVDvUF&#10;01MCqscxZdFnymCV7NLxdDr4fn+lPDlAGpWynq+qqbPfYOnuLYThjMtbE0yZRMPz0E2tJtfOPqVs&#10;b7tTtq9IFX7QrHsavjQxj2vMH/8im3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DTQxum0gAAAAcB&#10;AAAPAAAAAAAAAAEAIAAAADgAAABkcnMvZG93bnJldi54bWxQSwECFAAUAAAACACHTuJAfq1z29IB&#10;AABqAwAADgAAAAAAAAABACAAAAA3AQAAZHJzL2Uyb0RvYy54bWxQSwUGAAAAAAYABgBZAQAAewUA&#10;AAAA&#10;">
              <v:fill on="f" focussize="0,0"/>
              <v:stroke weight="1.75pt" color="#005192" joinstyle="round"/>
              <v:imagedata o:title=""/>
              <o:lock v:ext="edit" aspectratio="f"/>
            </v:line>
          </w:pict>
        </mc:Fallback>
      </mc:AlternateContent>
    </w:r>
  </w:p>
  <w:p>
    <w:pPr>
      <w:pStyle w:val="7"/>
    </w:pPr>
  </w:p>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xNDg2ZGM0MTBiOWM5NzI0NzFjZDMxNTQyYzEwM2UifQ=="/>
  </w:docVars>
  <w:rsids>
    <w:rsidRoot w:val="10C82295"/>
    <w:rsid w:val="01C46FDD"/>
    <w:rsid w:val="026001E7"/>
    <w:rsid w:val="0B8453DA"/>
    <w:rsid w:val="10C82295"/>
    <w:rsid w:val="3A9C3949"/>
    <w:rsid w:val="3DF5C21D"/>
    <w:rsid w:val="41F92FF0"/>
    <w:rsid w:val="483B032A"/>
    <w:rsid w:val="4FBF905A"/>
    <w:rsid w:val="62605F19"/>
    <w:rsid w:val="685966C7"/>
    <w:rsid w:val="777DCCFF"/>
    <w:rsid w:val="7BE004C2"/>
    <w:rsid w:val="7CE062D3"/>
    <w:rsid w:val="FE72F9E4"/>
    <w:rsid w:val="FF7EA8C8"/>
    <w:rsid w:val="FFB38A8F"/>
    <w:rsid w:val="FFDD77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0"/>
    <w:pPr>
      <w:keepNext/>
      <w:keepLines/>
      <w:spacing w:line="579" w:lineRule="exact"/>
      <w:jc w:val="left"/>
      <w:outlineLvl w:val="1"/>
    </w:pPr>
    <w:rPr>
      <w:rFonts w:ascii="Arial" w:hAnsi="Arial" w:eastAsia="方正楷体_GBK"/>
      <w:kern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widowControl w:val="0"/>
      <w:snapToGrid w:val="0"/>
      <w:spacing w:line="300" w:lineRule="auto"/>
      <w:ind w:firstLine="556"/>
      <w:jc w:val="both"/>
    </w:pPr>
    <w:rPr>
      <w:rFonts w:ascii="仿宋_GB2312" w:hAnsi="Calibri" w:eastAsia="仿宋_GB2312" w:cs="Times New Roman"/>
      <w:kern w:val="0"/>
      <w:sz w:val="21"/>
      <w:szCs w:val="20"/>
      <w:lang w:val="en-US" w:eastAsia="zh-CN" w:bidi="ar-SA"/>
    </w:rPr>
  </w:style>
  <w:style w:type="paragraph" w:styleId="4">
    <w:name w:val="Body Text"/>
    <w:basedOn w:val="1"/>
    <w:next w:val="5"/>
    <w:qFormat/>
    <w:uiPriority w:val="0"/>
    <w:pPr>
      <w:jc w:val="center"/>
    </w:pPr>
    <w:rPr>
      <w:szCs w:val="20"/>
    </w:rPr>
  </w:style>
  <w:style w:type="paragraph" w:styleId="5">
    <w:name w:val="toc 5"/>
    <w:basedOn w:val="1"/>
    <w:next w:val="1"/>
    <w:qFormat/>
    <w:uiPriority w:val="39"/>
    <w:pPr>
      <w:ind w:left="1680" w:leftChars="8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2"/>
    <w:basedOn w:val="1"/>
    <w:qFormat/>
    <w:uiPriority w:val="0"/>
    <w:pPr>
      <w:spacing w:after="120"/>
      <w:ind w:left="420" w:leftChars="200"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玉溪市澄江县党政机关单位</Company>
  <Pages>8</Pages>
  <Words>2926</Words>
  <Characters>2948</Characters>
  <Lines>0</Lines>
  <Paragraphs>0</Paragraphs>
  <TotalTime>6</TotalTime>
  <ScaleCrop>false</ScaleCrop>
  <LinksUpToDate>false</LinksUpToDate>
  <CharactersWithSpaces>3048</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2021-12-16T08:11:00Z</dcterms:created>
  <dc:creator>TiAmo</dc:creator>
  <cp:lastModifiedBy>user</cp:lastModifiedBy>
  <dcterms:modified xsi:type="dcterms:W3CDTF">2025-08-15T16:20:05Z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A762F1A76411497B816436F19D0DB50B</vt:lpwstr>
  </property>
</Properties>
</file>