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D330B">
      <w:pPr>
        <w:spacing w:line="560" w:lineRule="exact"/>
        <w:jc w:val="center"/>
        <w:rPr>
          <w:rFonts w:hint="eastAsia" w:ascii="方正小标宋_GBK" w:hAnsi="方正小标宋_GBK" w:eastAsia="方正小标宋_GBK" w:cs="方正小标宋_GBK"/>
          <w:b/>
          <w:bCs w:val="0"/>
          <w:sz w:val="44"/>
          <w:szCs w:val="44"/>
        </w:rPr>
      </w:pPr>
      <w:r>
        <w:rPr>
          <w:rFonts w:hint="eastAsia" w:ascii="方正小标宋_GBK" w:hAnsi="方正小标宋_GBK" w:eastAsia="方正小标宋_GBK" w:cs="方正小标宋_GBK"/>
          <w:b/>
          <w:bCs w:val="0"/>
          <w:sz w:val="44"/>
          <w:szCs w:val="44"/>
        </w:rPr>
        <w:t>安全生产行政执法文书</w:t>
      </w:r>
    </w:p>
    <w:p w14:paraId="0AB39741">
      <w:pPr>
        <w:spacing w:line="560" w:lineRule="exact"/>
        <w:jc w:val="center"/>
        <w:rPr>
          <w:rFonts w:hint="default" w:ascii="Times New Roman" w:hAnsi="Times New Roman" w:eastAsia="华文中宋" w:cs="Times New Roman"/>
          <w:b/>
          <w:bCs w:val="0"/>
          <w:sz w:val="44"/>
          <w:szCs w:val="44"/>
        </w:rPr>
      </w:pPr>
      <w:r>
        <w:rPr>
          <w:rFonts w:hint="eastAsia" w:ascii="方正小标宋_GBK" w:hAnsi="方正小标宋_GBK" w:eastAsia="方正小标宋_GBK" w:cs="方正小标宋_GBK"/>
          <w:b/>
          <w:bCs w:val="0"/>
          <w:sz w:val="44"/>
          <w:szCs w:val="44"/>
        </w:rPr>
        <w:t>行政处罚</w:t>
      </w:r>
      <w:r>
        <w:rPr>
          <w:rFonts w:hint="eastAsia" w:ascii="方正小标宋_GBK" w:hAnsi="方正小标宋_GBK" w:eastAsia="方正小标宋_GBK" w:cs="方正小标宋_GBK"/>
          <w:b/>
          <w:bCs w:val="0"/>
          <w:sz w:val="44"/>
          <w:szCs w:val="44"/>
        </w:rP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31115</wp:posOffset>
                </wp:positionV>
                <wp:extent cx="5457825" cy="0"/>
                <wp:effectExtent l="0" t="19050" r="9525" b="19050"/>
                <wp:wrapNone/>
                <wp:docPr id="1" name="直接连接符 1"/>
                <wp:cNvGraphicFramePr/>
                <a:graphic xmlns:a="http://schemas.openxmlformats.org/drawingml/2006/main">
                  <a:graphicData uri="http://schemas.microsoft.com/office/word/2010/wordprocessingShape">
                    <wps:wsp>
                      <wps:cNvCnPr/>
                      <wps:spPr>
                        <a:xfrm>
                          <a:off x="0" y="0"/>
                          <a:ext cx="5457825" cy="0"/>
                        </a:xfrm>
                        <a:prstGeom prst="line">
                          <a:avLst/>
                        </a:prstGeom>
                        <a:ln w="38100" cap="flat" cmpd="dbl">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3pt;margin-top:2.45pt;height:0pt;width:429.75pt;z-index:251660288;mso-width-relative:page;mso-height-relative:page;" filled="f" stroked="t" coordsize="21600,21600" o:gfxdata="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FmFqnUAAAABQEAAA8AAAAAAAAAAQAgAAAAIgAAAGRycy9kb3ducmV2LnhtbFBL&#10;AQIUABQAAAAIAIdO4kDNDRnR+gEAAO8DAAAOAAAAAAAAAAEAIAAAACMBAABkcnMvZTJvRG9jLnht&#10;bFBLBQYAAAAABgAGAFkBAACPBQAAAAA=&#10;">
                <v:fill on="f" focussize="0,0"/>
                <v:stroke weight="3pt" color="#000000" linestyle="thinThin" joinstyle="round"/>
                <v:imagedata o:title=""/>
                <o:lock v:ext="edit" aspectratio="f"/>
              </v:line>
            </w:pict>
          </mc:Fallback>
        </mc:AlternateContent>
      </w:r>
      <w:r>
        <w:rPr>
          <w:rFonts w:hint="eastAsia" w:ascii="方正小标宋_GBK" w:hAnsi="方正小标宋_GBK" w:eastAsia="方正小标宋_GBK" w:cs="方正小标宋_GBK"/>
          <w:b/>
          <w:bCs w:val="0"/>
          <w:sz w:val="44"/>
          <w:szCs w:val="44"/>
          <w:lang w:eastAsia="zh-CN"/>
        </w:rPr>
        <w:t>（</w:t>
      </w:r>
      <w:r>
        <w:rPr>
          <w:rFonts w:hint="eastAsia" w:ascii="方正小标宋_GBK" w:hAnsi="方正小标宋_GBK" w:eastAsia="方正小标宋_GBK" w:cs="方正小标宋_GBK"/>
          <w:b/>
          <w:bCs w:val="0"/>
          <w:sz w:val="44"/>
          <w:szCs w:val="44"/>
          <w:lang w:val="en-US" w:eastAsia="zh-CN"/>
        </w:rPr>
        <w:t>听证</w:t>
      </w:r>
      <w:r>
        <w:rPr>
          <w:rFonts w:hint="eastAsia" w:ascii="方正小标宋_GBK" w:hAnsi="方正小标宋_GBK" w:eastAsia="方正小标宋_GBK" w:cs="方正小标宋_GBK"/>
          <w:b/>
          <w:bCs w:val="0"/>
          <w:sz w:val="44"/>
          <w:szCs w:val="44"/>
          <w:lang w:eastAsia="zh-CN"/>
        </w:rPr>
        <w:t>）</w:t>
      </w:r>
      <w:r>
        <w:rPr>
          <w:rFonts w:hint="eastAsia" w:ascii="方正小标宋_GBK" w:hAnsi="方正小标宋_GBK" w:eastAsia="方正小标宋_GBK" w:cs="方正小标宋_GBK"/>
          <w:b/>
          <w:bCs w:val="0"/>
          <w:sz w:val="44"/>
          <w:szCs w:val="44"/>
        </w:rPr>
        <w:t>告知书</w:t>
      </w:r>
    </w:p>
    <w:p w14:paraId="635119F6">
      <w:pPr>
        <w:spacing w:line="64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澄</w:t>
      </w:r>
      <w:r>
        <w:rPr>
          <w:rFonts w:hint="default" w:ascii="Times New Roman" w:hAnsi="Times New Roman" w:eastAsia="仿宋_GB2312" w:cs="Times New Roman"/>
          <w:color w:val="000000" w:themeColor="text1"/>
          <w:sz w:val="24"/>
          <w:szCs w:val="24"/>
          <w14:textFill>
            <w14:solidFill>
              <w14:schemeClr w14:val="tx1"/>
            </w14:solidFill>
          </w14:textFill>
        </w:rPr>
        <w:t>）应急告〔</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202</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5</w:t>
      </w:r>
      <w:r>
        <w:rPr>
          <w:rFonts w:hint="default" w:ascii="Times New Roman" w:hAnsi="Times New Roman" w:eastAsia="仿宋_GB2312" w:cs="Times New Roman"/>
          <w:color w:val="000000" w:themeColor="text1"/>
          <w:sz w:val="24"/>
          <w:szCs w:val="24"/>
          <w14:textFill>
            <w14:solidFill>
              <w14:schemeClr w14:val="tx1"/>
            </w14:solidFill>
          </w14:textFill>
        </w:rPr>
        <w:t>〕</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2</w:t>
      </w:r>
      <w:r>
        <w:rPr>
          <w:rFonts w:hint="default" w:ascii="Times New Roman" w:hAnsi="Times New Roman" w:eastAsia="仿宋_GB2312" w:cs="Times New Roman"/>
          <w:color w:val="000000" w:themeColor="text1"/>
          <w:sz w:val="24"/>
          <w:szCs w:val="24"/>
          <w14:textFill>
            <w14:solidFill>
              <w14:schemeClr w14:val="tx1"/>
            </w14:solidFill>
          </w14:textFill>
        </w:rPr>
        <w:t>号</w:t>
      </w:r>
    </w:p>
    <w:p w14:paraId="1AA72B6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u w:val="single"/>
          <w:lang w:eastAsia="zh-CN"/>
          <w14:textFill>
            <w14:solidFill>
              <w14:schemeClr w14:val="tx1"/>
            </w14:solidFill>
          </w14:textFill>
        </w:rPr>
        <w:t>高仙果</w:t>
      </w:r>
      <w:r>
        <w:rPr>
          <w:rFonts w:hint="default" w:ascii="Times New Roman" w:hAnsi="Times New Roman" w:eastAsia="仿宋_GB2312" w:cs="Times New Roman"/>
          <w:color w:val="000000" w:themeColor="text1"/>
          <w:sz w:val="24"/>
          <w:szCs w:val="24"/>
          <w14:textFill>
            <w14:solidFill>
              <w14:schemeClr w14:val="tx1"/>
            </w14:solidFill>
          </w14:textFill>
        </w:rPr>
        <w:t>：</w:t>
      </w:r>
    </w:p>
    <w:p w14:paraId="470E9E2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6" w:lineRule="exact"/>
        <w:ind w:left="0" w:right="0" w:rightChars="0" w:firstLine="646"/>
        <w:jc w:val="both"/>
        <w:textAlignment w:val="auto"/>
        <w:outlineLvl w:val="9"/>
        <w:rPr>
          <w:rFonts w:hint="default" w:ascii="Times New Roman" w:hAnsi="Times New Roman" w:eastAsia="仿宋_GB2312" w:cs="Times New Roman"/>
          <w:color w:val="000000" w:themeColor="text1"/>
          <w:sz w:val="24"/>
          <w:szCs w:val="24"/>
          <w:u w:val="singl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u w:val="none"/>
          <w14:textFill>
            <w14:solidFill>
              <w14:schemeClr w14:val="tx1"/>
            </w14:solidFill>
          </w14:textFill>
        </w:rPr>
        <w:t>现查明，你存在下列行为：</w:t>
      </w:r>
      <w:r>
        <w:rPr>
          <w:rFonts w:hint="default" w:ascii="Times New Roman" w:hAnsi="Times New Roman" w:eastAsia="仿宋_GB2312" w:cs="Times New Roman"/>
          <w:color w:val="000000" w:themeColor="text1"/>
          <w:sz w:val="24"/>
          <w:szCs w:val="24"/>
          <w:u w:val="single"/>
          <w:lang w:val="en-US" w:eastAsia="zh-CN"/>
          <w14:textFill>
            <w14:solidFill>
              <w14:schemeClr w14:val="tx1"/>
            </w14:solidFill>
          </w14:textFill>
        </w:rPr>
        <w:t>202</w:t>
      </w:r>
      <w:r>
        <w:rPr>
          <w:rFonts w:hint="eastAsia" w:ascii="Times New Roman" w:hAnsi="Times New Roman" w:eastAsia="仿宋_GB2312" w:cs="Times New Roman"/>
          <w:color w:val="000000" w:themeColor="text1"/>
          <w:sz w:val="24"/>
          <w:szCs w:val="24"/>
          <w:u w:val="single"/>
          <w:lang w:val="en-US" w:eastAsia="zh-CN"/>
          <w14:textFill>
            <w14:solidFill>
              <w14:schemeClr w14:val="tx1"/>
            </w14:solidFill>
          </w14:textFill>
        </w:rPr>
        <w:t>5</w:t>
      </w:r>
      <w:r>
        <w:rPr>
          <w:rFonts w:hint="default" w:ascii="Times New Roman" w:hAnsi="Times New Roman" w:eastAsia="仿宋_GB2312" w:cs="Times New Roman"/>
          <w:color w:val="000000" w:themeColor="text1"/>
          <w:sz w:val="24"/>
          <w:szCs w:val="24"/>
          <w:u w:val="single"/>
          <w:lang w:val="en-US" w:eastAsia="zh-CN"/>
          <w14:textFill>
            <w14:solidFill>
              <w14:schemeClr w14:val="tx1"/>
            </w14:solidFill>
          </w14:textFill>
        </w:rPr>
        <w:t>年</w:t>
      </w:r>
      <w:r>
        <w:rPr>
          <w:rFonts w:hint="eastAsia" w:ascii="Times New Roman" w:hAnsi="Times New Roman" w:eastAsia="仿宋_GB2312" w:cs="Times New Roman"/>
          <w:color w:val="000000" w:themeColor="text1"/>
          <w:sz w:val="24"/>
          <w:szCs w:val="24"/>
          <w:u w:val="single"/>
          <w:lang w:val="en-US" w:eastAsia="zh-CN"/>
          <w14:textFill>
            <w14:solidFill>
              <w14:schemeClr w14:val="tx1"/>
            </w14:solidFill>
          </w14:textFill>
        </w:rPr>
        <w:t>6</w:t>
      </w:r>
      <w:r>
        <w:rPr>
          <w:rFonts w:hint="default" w:ascii="Times New Roman" w:hAnsi="Times New Roman" w:eastAsia="仿宋_GB2312" w:cs="Times New Roman"/>
          <w:color w:val="000000" w:themeColor="text1"/>
          <w:sz w:val="24"/>
          <w:szCs w:val="24"/>
          <w:u w:val="single"/>
          <w:lang w:val="en-US" w:eastAsia="zh-CN"/>
          <w14:textFill>
            <w14:solidFill>
              <w14:schemeClr w14:val="tx1"/>
            </w14:solidFill>
          </w14:textFill>
        </w:rPr>
        <w:t>月</w:t>
      </w:r>
      <w:r>
        <w:rPr>
          <w:rFonts w:hint="eastAsia" w:ascii="Times New Roman" w:hAnsi="Times New Roman" w:eastAsia="仿宋_GB2312" w:cs="Times New Roman"/>
          <w:color w:val="000000" w:themeColor="text1"/>
          <w:sz w:val="24"/>
          <w:szCs w:val="24"/>
          <w:u w:val="single"/>
          <w:lang w:val="en-US" w:eastAsia="zh-CN"/>
          <w14:textFill>
            <w14:solidFill>
              <w14:schemeClr w14:val="tx1"/>
            </w14:solidFill>
          </w14:textFill>
        </w:rPr>
        <w:t>17</w:t>
      </w:r>
      <w:r>
        <w:rPr>
          <w:rFonts w:hint="default" w:ascii="Times New Roman" w:hAnsi="Times New Roman" w:eastAsia="仿宋_GB2312" w:cs="Times New Roman"/>
          <w:color w:val="000000" w:themeColor="text1"/>
          <w:sz w:val="24"/>
          <w:szCs w:val="24"/>
          <w:u w:val="single"/>
          <w:lang w:val="en-US" w:eastAsia="zh-CN"/>
          <w14:textFill>
            <w14:solidFill>
              <w14:schemeClr w14:val="tx1"/>
            </w14:solidFill>
          </w14:textFill>
        </w:rPr>
        <w:t>日下午14时</w:t>
      </w:r>
      <w:r>
        <w:rPr>
          <w:rFonts w:hint="eastAsia" w:ascii="Times New Roman" w:hAnsi="Times New Roman" w:eastAsia="仿宋_GB2312" w:cs="Times New Roman"/>
          <w:color w:val="000000" w:themeColor="text1"/>
          <w:sz w:val="24"/>
          <w:szCs w:val="24"/>
          <w:u w:val="single"/>
          <w:lang w:val="en-US" w:eastAsia="zh-CN"/>
          <w14:textFill>
            <w14:solidFill>
              <w14:schemeClr w14:val="tx1"/>
            </w14:solidFill>
          </w14:textFill>
        </w:rPr>
        <w:t>20</w:t>
      </w:r>
      <w:r>
        <w:rPr>
          <w:rFonts w:hint="default" w:ascii="Times New Roman" w:hAnsi="Times New Roman" w:eastAsia="仿宋_GB2312" w:cs="Times New Roman"/>
          <w:color w:val="000000" w:themeColor="text1"/>
          <w:sz w:val="24"/>
          <w:szCs w:val="24"/>
          <w:u w:val="single"/>
          <w:lang w:val="en-US" w:eastAsia="zh-CN"/>
          <w14:textFill>
            <w14:solidFill>
              <w14:schemeClr w14:val="tx1"/>
            </w14:solidFill>
          </w14:textFill>
        </w:rPr>
        <w:t>分左右，</w:t>
      </w:r>
      <w:r>
        <w:rPr>
          <w:rFonts w:hint="eastAsia" w:ascii="Times New Roman" w:hAnsi="Times New Roman" w:eastAsia="仿宋_GB2312" w:cs="Times New Roman"/>
          <w:color w:val="000000" w:themeColor="text1"/>
          <w:sz w:val="24"/>
          <w:szCs w:val="24"/>
          <w:u w:val="single"/>
          <w:lang w:val="en-US" w:eastAsia="zh-CN"/>
          <w14:textFill>
            <w14:solidFill>
              <w14:schemeClr w14:val="tx1"/>
            </w14:solidFill>
          </w14:textFill>
        </w:rPr>
        <w:t>你</w:t>
      </w:r>
      <w:r>
        <w:rPr>
          <w:rFonts w:hint="default" w:ascii="Times New Roman" w:hAnsi="Times New Roman" w:eastAsia="仿宋_GB2312" w:cs="Times New Roman"/>
          <w:color w:val="000000" w:themeColor="text1"/>
          <w:sz w:val="24"/>
          <w:szCs w:val="24"/>
          <w:u w:val="single"/>
          <w:lang w:val="en-US" w:eastAsia="zh-CN"/>
          <w14:textFill>
            <w14:solidFill>
              <w14:schemeClr w14:val="tx1"/>
            </w14:solidFill>
          </w14:textFill>
        </w:rPr>
        <w:t>公司</w:t>
      </w:r>
      <w:r>
        <w:rPr>
          <w:rFonts w:hint="eastAsia" w:ascii="Times New Roman" w:hAnsi="Times New Roman" w:eastAsia="仿宋_GB2312" w:cs="Times New Roman"/>
          <w:color w:val="000000" w:themeColor="text1"/>
          <w:sz w:val="24"/>
          <w:szCs w:val="24"/>
          <w:u w:val="singl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u w:val="single"/>
          <w14:textFill>
            <w14:solidFill>
              <w14:schemeClr w14:val="tx1"/>
            </w14:solidFill>
          </w14:textFill>
        </w:rPr>
        <w:t>云南文杰温室管棚有限公司</w:t>
      </w:r>
      <w:r>
        <w:rPr>
          <w:rFonts w:hint="eastAsia" w:ascii="Times New Roman" w:hAnsi="Times New Roman" w:eastAsia="仿宋_GB2312" w:cs="Times New Roman"/>
          <w:color w:val="000000" w:themeColor="text1"/>
          <w:sz w:val="24"/>
          <w:szCs w:val="24"/>
          <w:u w:val="singl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u w:val="single"/>
          <w:lang w:val="en-US" w:eastAsia="zh-CN"/>
          <w14:textFill>
            <w14:solidFill>
              <w14:schemeClr w14:val="tx1"/>
            </w14:solidFill>
          </w14:textFill>
        </w:rPr>
        <w:t>在澄江市</w:t>
      </w:r>
      <w:r>
        <w:rPr>
          <w:rFonts w:hint="eastAsia" w:ascii="Times New Roman" w:hAnsi="Times New Roman" w:eastAsia="仿宋_GB2312" w:cs="Times New Roman"/>
          <w:color w:val="000000" w:themeColor="text1"/>
          <w:sz w:val="24"/>
          <w:szCs w:val="24"/>
          <w:u w:val="single"/>
          <w:lang w:val="en-US" w:eastAsia="zh-CN"/>
          <w14:textFill>
            <w14:solidFill>
              <w14:schemeClr w14:val="tx1"/>
            </w14:solidFill>
          </w14:textFill>
        </w:rPr>
        <w:t>路居镇上坝钰燊蓝莓种植基地搭建大棚过程中发生一起高处坠落致</w:t>
      </w:r>
      <w:r>
        <w:rPr>
          <w:rFonts w:hint="default" w:ascii="Times New Roman" w:hAnsi="Times New Roman" w:eastAsia="仿宋_GB2312" w:cs="Times New Roman"/>
          <w:color w:val="000000" w:themeColor="text1"/>
          <w:sz w:val="24"/>
          <w:szCs w:val="24"/>
          <w:u w:val="single"/>
          <w:lang w:val="en-US" w:eastAsia="zh-CN"/>
          <w14:textFill>
            <w14:solidFill>
              <w14:schemeClr w14:val="tx1"/>
            </w14:solidFill>
          </w14:textFill>
        </w:rPr>
        <w:t>1人死亡的生产安全事故</w:t>
      </w:r>
      <w:r>
        <w:rPr>
          <w:rFonts w:hint="eastAsia" w:ascii="Times New Roman" w:hAnsi="Times New Roman" w:eastAsia="仿宋_GB2312" w:cs="Times New Roman"/>
          <w:color w:val="000000" w:themeColor="text1"/>
          <w:sz w:val="24"/>
          <w:szCs w:val="24"/>
          <w:u w:val="singl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u w:val="single"/>
          <w:lang w:val="en-US" w:eastAsia="zh-CN"/>
          <w14:textFill>
            <w14:solidFill>
              <w14:schemeClr w14:val="tx1"/>
            </w14:solidFill>
          </w14:textFill>
        </w:rPr>
        <w:t>经澄江市人民政府批准的事故报告证实，</w:t>
      </w:r>
      <w:r>
        <w:rPr>
          <w:rFonts w:hint="eastAsia" w:ascii="Times New Roman" w:hAnsi="Times New Roman" w:eastAsia="仿宋_GB2312" w:cs="Times New Roman"/>
          <w:color w:val="000000" w:themeColor="text1"/>
          <w:sz w:val="24"/>
          <w:szCs w:val="24"/>
          <w:u w:val="single"/>
          <w:lang w:val="en-US" w:eastAsia="zh-CN"/>
          <w14:textFill>
            <w14:solidFill>
              <w14:schemeClr w14:val="tx1"/>
            </w14:solidFill>
          </w14:textFill>
        </w:rPr>
        <w:t>你</w:t>
      </w:r>
      <w:r>
        <w:rPr>
          <w:rFonts w:hint="default" w:ascii="Times New Roman" w:hAnsi="Times New Roman" w:eastAsia="仿宋_GB2312" w:cs="Times New Roman"/>
          <w:color w:val="000000" w:themeColor="text1"/>
          <w:sz w:val="24"/>
          <w:szCs w:val="24"/>
          <w:u w:val="single"/>
          <w:lang w:val="en-US" w:eastAsia="zh-CN"/>
          <w14:textFill>
            <w14:solidFill>
              <w14:schemeClr w14:val="tx1"/>
            </w14:solidFill>
          </w14:textFill>
        </w:rPr>
        <w:t>作为云南文杰温室管棚有限公司法人代表人，为该公司主要负责人，放任赵双红以云南文杰温室管棚有限公司的名义承揽大棚建设项目，无与本单位所从事的生产经营活动相应的安全生产知识和管理能力，未建立健全并落实本单位全员安全生产责任制；未组织制定并实施本单位包括高处作业的安全生产规章制度和操作规程；未组织制定并实施本单位包括高处作业的安全生产教育和培训计划；未保证本单位安全生产投入的有效实施；未组织建立并落实安全风险分级管控和隐患排查治理双重预防工作机制，督促、检查本单位的安全生产工作，及时消除生产安全事故隐患；未组织制定并实施本单位的生产安全事故应急救援预案；未及时、如实报告生产安全事故；未实际参与本单位涉及事故发生项目的安全生产管理，未履行生产经营单位主要负责人安全生产职责。</w:t>
      </w:r>
    </w:p>
    <w:p w14:paraId="021380E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u w:val="single"/>
          <w:lang w:eastAsia="zh-CN"/>
        </w:rPr>
      </w:pPr>
      <w:r>
        <w:rPr>
          <w:rFonts w:hint="default" w:ascii="Times New Roman" w:hAnsi="Times New Roman" w:eastAsia="仿宋_GB2312" w:cs="Times New Roman"/>
          <w:color w:val="000000" w:themeColor="text1"/>
          <w:sz w:val="24"/>
          <w:szCs w:val="24"/>
          <w14:textFill>
            <w14:solidFill>
              <w14:schemeClr w14:val="tx1"/>
            </w14:solidFill>
          </w14:textFill>
        </w:rPr>
        <w:t>以上事实主要证据如下：</w:t>
      </w:r>
      <w:r>
        <w:rPr>
          <w:rFonts w:hint="default" w:ascii="Times New Roman" w:hAnsi="Times New Roman" w:eastAsia="仿宋_GB2312" w:cs="Times New Roman"/>
          <w:color w:val="000000" w:themeColor="text1"/>
          <w:sz w:val="24"/>
          <w:szCs w:val="24"/>
          <w:u w:val="single"/>
          <w:lang w:val="en-US" w:eastAsia="zh-CN"/>
          <w14:textFill>
            <w14:solidFill>
              <w14:schemeClr w14:val="tx1"/>
            </w14:solidFill>
          </w14:textFill>
        </w:rPr>
        <w:t>一、当事人的陈述；二、证人证言；三、书证；四、事故调查组收集到的其他证据材料。</w:t>
      </w:r>
    </w:p>
    <w:p w14:paraId="042F942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color w:val="000000" w:themeColor="text1"/>
          <w:sz w:val="24"/>
          <w:szCs w:val="24"/>
          <w:u w:val="single"/>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以上行为违反了</w:t>
      </w:r>
      <w:r>
        <w:rPr>
          <w:rFonts w:hint="eastAsia" w:ascii="仿宋_GB2312" w:hAnsi="仿宋_GB2312" w:eastAsia="仿宋_GB2312" w:cs="仿宋_GB2312"/>
          <w:i w:val="0"/>
          <w:caps w:val="0"/>
          <w:color w:val="auto"/>
          <w:spacing w:val="0"/>
          <w:sz w:val="24"/>
          <w:szCs w:val="24"/>
          <w:highlight w:val="none"/>
          <w:u w:val="single"/>
        </w:rPr>
        <w:t>《中华人民共和国安全生产法》</w:t>
      </w:r>
      <w:r>
        <w:rPr>
          <w:rFonts w:hint="eastAsia" w:ascii="仿宋_GB2312" w:hAnsi="仿宋_GB2312" w:eastAsia="仿宋_GB2312" w:cs="仿宋_GB2312"/>
          <w:i w:val="0"/>
          <w:caps w:val="0"/>
          <w:color w:val="auto"/>
          <w:spacing w:val="0"/>
          <w:sz w:val="24"/>
          <w:szCs w:val="24"/>
          <w:highlight w:val="none"/>
          <w:u w:val="single"/>
          <w:lang w:val="en-US" w:eastAsia="zh-CN"/>
        </w:rPr>
        <w:t>第二十一条第（一）、（二）、（三）、（四）、（五）、（六）、（七）款、</w:t>
      </w:r>
      <w:r>
        <w:rPr>
          <w:rFonts w:hint="eastAsia" w:ascii="仿宋_GB2312" w:hAnsi="仿宋_GB2312" w:eastAsia="仿宋_GB2312" w:cs="仿宋_GB2312"/>
          <w:i w:val="0"/>
          <w:caps w:val="0"/>
          <w:color w:val="auto"/>
          <w:spacing w:val="0"/>
          <w:sz w:val="24"/>
          <w:szCs w:val="24"/>
          <w:highlight w:val="none"/>
          <w:u w:val="single"/>
        </w:rPr>
        <w:t>第二十</w:t>
      </w:r>
      <w:r>
        <w:rPr>
          <w:rFonts w:hint="eastAsia" w:ascii="仿宋_GB2312" w:hAnsi="仿宋_GB2312" w:eastAsia="仿宋_GB2312" w:cs="仿宋_GB2312"/>
          <w:i w:val="0"/>
          <w:caps w:val="0"/>
          <w:color w:val="auto"/>
          <w:spacing w:val="0"/>
          <w:sz w:val="24"/>
          <w:szCs w:val="24"/>
          <w:highlight w:val="none"/>
          <w:u w:val="single"/>
          <w:lang w:eastAsia="zh-CN"/>
        </w:rPr>
        <w:t>七</w:t>
      </w:r>
      <w:r>
        <w:rPr>
          <w:rFonts w:hint="eastAsia" w:ascii="仿宋_GB2312" w:hAnsi="仿宋_GB2312" w:eastAsia="仿宋_GB2312" w:cs="仿宋_GB2312"/>
          <w:i w:val="0"/>
          <w:caps w:val="0"/>
          <w:color w:val="auto"/>
          <w:spacing w:val="0"/>
          <w:sz w:val="24"/>
          <w:szCs w:val="24"/>
          <w:highlight w:val="none"/>
          <w:u w:val="single"/>
        </w:rPr>
        <w:t>条第</w:t>
      </w:r>
      <w:r>
        <w:rPr>
          <w:rFonts w:hint="eastAsia" w:ascii="仿宋_GB2312" w:hAnsi="仿宋_GB2312" w:eastAsia="仿宋_GB2312" w:cs="仿宋_GB2312"/>
          <w:i w:val="0"/>
          <w:caps w:val="0"/>
          <w:color w:val="auto"/>
          <w:spacing w:val="0"/>
          <w:sz w:val="24"/>
          <w:szCs w:val="24"/>
          <w:highlight w:val="none"/>
          <w:u w:val="single"/>
          <w:lang w:val="en-US" w:eastAsia="zh-CN"/>
        </w:rPr>
        <w:t>一</w:t>
      </w:r>
      <w:r>
        <w:rPr>
          <w:rFonts w:hint="eastAsia" w:ascii="仿宋_GB2312" w:hAnsi="仿宋_GB2312" w:eastAsia="仿宋_GB2312" w:cs="仿宋_GB2312"/>
          <w:i w:val="0"/>
          <w:caps w:val="0"/>
          <w:color w:val="auto"/>
          <w:spacing w:val="0"/>
          <w:sz w:val="24"/>
          <w:szCs w:val="24"/>
          <w:highlight w:val="none"/>
          <w:u w:val="single"/>
          <w:lang w:eastAsia="zh-CN"/>
        </w:rPr>
        <w:t>款</w:t>
      </w:r>
      <w:r>
        <w:rPr>
          <w:rFonts w:hint="eastAsia" w:ascii="仿宋_GB2312" w:hAnsi="仿宋_GB2312" w:eastAsia="仿宋_GB2312" w:cs="仿宋_GB2312"/>
          <w:i w:val="0"/>
          <w:caps w:val="0"/>
          <w:color w:val="auto"/>
          <w:spacing w:val="0"/>
          <w:sz w:val="24"/>
          <w:szCs w:val="24"/>
          <w:highlight w:val="none"/>
          <w:u w:val="none"/>
          <w:lang w:eastAsia="zh-CN"/>
        </w:rPr>
        <w:t>的</w:t>
      </w:r>
      <w:r>
        <w:rPr>
          <w:rFonts w:hint="eastAsia" w:ascii="仿宋_GB2312" w:hAnsi="仿宋_GB2312" w:eastAsia="仿宋_GB2312" w:cs="仿宋_GB2312"/>
          <w:i w:val="0"/>
          <w:caps w:val="0"/>
          <w:color w:val="auto"/>
          <w:spacing w:val="0"/>
          <w:sz w:val="24"/>
          <w:szCs w:val="24"/>
          <w:highlight w:val="none"/>
          <w:u w:val="none"/>
        </w:rPr>
        <w:t>规定。</w:t>
      </w:r>
      <w:r>
        <w:rPr>
          <w:rFonts w:hint="eastAsia" w:ascii="仿宋_GB2312" w:hAnsi="仿宋_GB2312" w:eastAsia="仿宋_GB2312" w:cs="仿宋_GB2312"/>
          <w:i w:val="0"/>
          <w:caps w:val="0"/>
          <w:color w:val="auto"/>
          <w:spacing w:val="0"/>
          <w:sz w:val="24"/>
          <w:szCs w:val="24"/>
          <w:highlight w:val="none"/>
          <w:u w:val="none"/>
          <w:lang w:eastAsia="zh-CN"/>
        </w:rPr>
        <w:t>依</w:t>
      </w:r>
      <w:r>
        <w:rPr>
          <w:rFonts w:hint="eastAsia" w:ascii="仿宋_GB2312" w:hAnsi="仿宋_GB2312" w:eastAsia="仿宋_GB2312" w:cs="仿宋_GB2312"/>
          <w:i w:val="0"/>
          <w:caps w:val="0"/>
          <w:color w:val="auto"/>
          <w:spacing w:val="0"/>
          <w:sz w:val="24"/>
          <w:szCs w:val="24"/>
          <w:highlight w:val="none"/>
          <w:u w:val="none"/>
        </w:rPr>
        <w:t>据</w:t>
      </w:r>
      <w:r>
        <w:rPr>
          <w:rFonts w:hint="eastAsia" w:ascii="仿宋_GB2312" w:hAnsi="仿宋_GB2312" w:eastAsia="仿宋_GB2312" w:cs="仿宋_GB2312"/>
          <w:i w:val="0"/>
          <w:caps w:val="0"/>
          <w:color w:val="auto"/>
          <w:spacing w:val="0"/>
          <w:sz w:val="24"/>
          <w:szCs w:val="24"/>
          <w:highlight w:val="none"/>
          <w:u w:val="single"/>
        </w:rPr>
        <w:t>《中华人民共和国安全生产法》</w:t>
      </w:r>
      <w:r>
        <w:rPr>
          <w:rFonts w:hint="eastAsia" w:ascii="仿宋_GB2312" w:hAnsi="仿宋_GB2312" w:eastAsia="仿宋_GB2312" w:cs="仿宋_GB2312"/>
          <w:i w:val="0"/>
          <w:caps w:val="0"/>
          <w:color w:val="auto"/>
          <w:spacing w:val="0"/>
          <w:sz w:val="24"/>
          <w:szCs w:val="24"/>
          <w:highlight w:val="none"/>
          <w:u w:val="single"/>
          <w:lang w:val="en-US" w:eastAsia="zh-CN"/>
        </w:rPr>
        <w:t>第九十五条第一项、2024年1月10日由</w:t>
      </w:r>
      <w:r>
        <w:rPr>
          <w:rFonts w:hint="default" w:ascii="仿宋_GB2312" w:hAnsi="仿宋_GB2312" w:eastAsia="仿宋_GB2312" w:cs="仿宋_GB2312"/>
          <w:i w:val="0"/>
          <w:caps w:val="0"/>
          <w:color w:val="auto"/>
          <w:spacing w:val="0"/>
          <w:sz w:val="24"/>
          <w:szCs w:val="24"/>
          <w:highlight w:val="none"/>
          <w:u w:val="single"/>
          <w:lang w:val="en-US" w:eastAsia="zh-CN"/>
        </w:rPr>
        <w:t>应急管理部第14号令发布</w:t>
      </w:r>
      <w:r>
        <w:rPr>
          <w:rFonts w:hint="eastAsia" w:ascii="仿宋_GB2312" w:hAnsi="仿宋_GB2312" w:eastAsia="仿宋_GB2312" w:cs="仿宋_GB2312"/>
          <w:i w:val="0"/>
          <w:caps w:val="0"/>
          <w:color w:val="auto"/>
          <w:spacing w:val="0"/>
          <w:sz w:val="24"/>
          <w:szCs w:val="24"/>
          <w:highlight w:val="none"/>
          <w:u w:val="single"/>
          <w:lang w:val="en-US" w:eastAsia="zh-CN"/>
        </w:rPr>
        <w:t>《生产安全事故罚款规定》第四条第一项</w:t>
      </w:r>
      <w:r>
        <w:rPr>
          <w:rFonts w:hint="eastAsia" w:ascii="仿宋_GB2312" w:hAnsi="仿宋_GB2312" w:eastAsia="仿宋_GB2312" w:cs="仿宋_GB2312"/>
          <w:i w:val="0"/>
          <w:caps w:val="0"/>
          <w:color w:val="auto"/>
          <w:spacing w:val="0"/>
          <w:sz w:val="24"/>
          <w:szCs w:val="24"/>
          <w:highlight w:val="none"/>
          <w:u w:val="none"/>
          <w:lang w:val="en-US" w:eastAsia="zh-CN"/>
        </w:rPr>
        <w:t>的</w:t>
      </w:r>
      <w:r>
        <w:rPr>
          <w:rFonts w:hint="eastAsia" w:ascii="仿宋_GB2312" w:hAnsi="仿宋_GB2312" w:eastAsia="仿宋_GB2312" w:cs="仿宋_GB2312"/>
          <w:i w:val="0"/>
          <w:caps w:val="0"/>
          <w:color w:val="auto"/>
          <w:spacing w:val="0"/>
          <w:sz w:val="24"/>
          <w:szCs w:val="24"/>
          <w:highlight w:val="none"/>
          <w:u w:val="none"/>
        </w:rPr>
        <w:t>规定</w:t>
      </w:r>
      <w:r>
        <w:rPr>
          <w:rFonts w:hint="eastAsia" w:ascii="仿宋_GB2312" w:hAnsi="仿宋_GB2312" w:eastAsia="仿宋_GB2312" w:cs="仿宋_GB2312"/>
          <w:i w:val="0"/>
          <w:caps w:val="0"/>
          <w:color w:val="auto"/>
          <w:spacing w:val="0"/>
          <w:sz w:val="24"/>
          <w:szCs w:val="24"/>
          <w:highlight w:val="none"/>
        </w:rPr>
        <w:t>，</w:t>
      </w:r>
      <w:r>
        <w:rPr>
          <w:rFonts w:hint="eastAsia" w:ascii="仿宋_GB2312" w:hAnsi="仿宋_GB2312" w:eastAsia="仿宋_GB2312" w:cs="仿宋_GB2312"/>
          <w:bCs/>
          <w:color w:val="000000"/>
          <w:sz w:val="24"/>
          <w:szCs w:val="24"/>
          <w:lang w:val="en-US" w:eastAsia="zh-CN"/>
        </w:rPr>
        <w:t>决定给予</w:t>
      </w:r>
      <w:r>
        <w:rPr>
          <w:rFonts w:hint="eastAsia" w:ascii="仿宋_GB2312" w:hAnsi="仿宋_GB2312" w:eastAsia="仿宋_GB2312" w:cs="仿宋_GB2312"/>
          <w:color w:val="000000"/>
          <w:kern w:val="0"/>
          <w:sz w:val="24"/>
          <w:szCs w:val="24"/>
          <w:u w:val="single"/>
          <w:lang w:val="en-US" w:eastAsia="zh-CN"/>
        </w:rPr>
        <w:t>高仙果</w:t>
      </w:r>
      <w:r>
        <w:rPr>
          <w:rFonts w:hint="eastAsia" w:ascii="仿宋_GB2312" w:hAnsi="仿宋_GB2312" w:eastAsia="仿宋_GB2312" w:cs="仿宋_GB2312"/>
          <w:bCs/>
          <w:color w:val="000000"/>
          <w:sz w:val="24"/>
          <w:szCs w:val="24"/>
          <w:u w:val="single"/>
          <w:lang w:val="en-US" w:eastAsia="zh-CN"/>
        </w:rPr>
        <w:t>罚款按照云南省上一年度城镇单位就业人员平均工资（55317元）6倍的40%共计壹拾叁万贰仟柒佰陆拾元零捌角整</w:t>
      </w:r>
      <w:r>
        <w:rPr>
          <w:rFonts w:hint="eastAsia" w:ascii="仿宋_GB2312" w:hAnsi="仿宋_GB2312" w:eastAsia="仿宋_GB2312" w:cs="仿宋_GB2312"/>
          <w:bCs/>
          <w:color w:val="auto"/>
          <w:sz w:val="24"/>
          <w:szCs w:val="24"/>
          <w:u w:val="single"/>
          <w:lang w:val="en-US" w:eastAsia="zh-CN"/>
        </w:rPr>
        <w:t>（132760.8</w:t>
      </w:r>
      <w:r>
        <w:rPr>
          <w:rFonts w:hint="eastAsia" w:ascii="仿宋_GB2312" w:hAnsi="仿宋_GB2312" w:eastAsia="仿宋_GB2312" w:cs="仿宋_GB2312"/>
          <w:bCs/>
          <w:color w:val="000000"/>
          <w:sz w:val="24"/>
          <w:szCs w:val="24"/>
          <w:u w:val="single"/>
          <w:lang w:val="en-US" w:eastAsia="zh-CN"/>
        </w:rPr>
        <w:t>元）</w:t>
      </w:r>
      <w:r>
        <w:rPr>
          <w:rFonts w:hint="eastAsia" w:ascii="仿宋_GB2312" w:hAnsi="仿宋_GB2312" w:eastAsia="仿宋_GB2312" w:cs="仿宋_GB2312"/>
          <w:bCs/>
          <w:color w:val="000000"/>
          <w:sz w:val="24"/>
          <w:szCs w:val="24"/>
          <w:lang w:val="en-US" w:eastAsia="zh-CN"/>
        </w:rPr>
        <w:t>的行政处罚</w:t>
      </w:r>
      <w:r>
        <w:rPr>
          <w:rFonts w:hint="default" w:ascii="Times New Roman" w:hAnsi="Times New Roman" w:eastAsia="仿宋_GB2312" w:cs="Times New Roman"/>
          <w:color w:val="000000" w:themeColor="text1"/>
          <w:sz w:val="24"/>
          <w:szCs w:val="24"/>
          <w14:textFill>
            <w14:solidFill>
              <w14:schemeClr w14:val="tx1"/>
            </w14:solidFill>
          </w14:textFill>
        </w:rPr>
        <w:t>。</w:t>
      </w:r>
    </w:p>
    <w:p w14:paraId="39800C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如对上述处罚有异议，根据</w:t>
      </w:r>
      <w:r>
        <w:rPr>
          <w:rFonts w:hint="default" w:ascii="Times New Roman" w:hAnsi="Times New Roman" w:eastAsia="仿宋_GB2312" w:cs="Times New Roman"/>
          <w:color w:val="000000" w:themeColor="text1"/>
          <w:sz w:val="24"/>
          <w:szCs w:val="24"/>
          <w:u w:val="single"/>
          <w14:textFill>
            <w14:solidFill>
              <w14:schemeClr w14:val="tx1"/>
            </w14:solidFill>
          </w14:textFill>
        </w:rPr>
        <w:t>《中华人民共和国行政处罚法》第四十</w:t>
      </w:r>
      <w:r>
        <w:rPr>
          <w:rFonts w:hint="default" w:ascii="Times New Roman" w:hAnsi="Times New Roman" w:eastAsia="仿宋_GB2312" w:cs="Times New Roman"/>
          <w:color w:val="000000" w:themeColor="text1"/>
          <w:sz w:val="24"/>
          <w:szCs w:val="24"/>
          <w:u w:val="single"/>
          <w:lang w:val="en-US" w:eastAsia="zh-CN"/>
          <w14:textFill>
            <w14:solidFill>
              <w14:schemeClr w14:val="tx1"/>
            </w14:solidFill>
          </w14:textFill>
        </w:rPr>
        <w:t>四</w:t>
      </w:r>
      <w:r>
        <w:rPr>
          <w:rFonts w:hint="default" w:ascii="Times New Roman" w:hAnsi="Times New Roman" w:eastAsia="仿宋_GB2312" w:cs="Times New Roman"/>
          <w:color w:val="000000" w:themeColor="text1"/>
          <w:sz w:val="24"/>
          <w:szCs w:val="24"/>
          <w:u w:val="single"/>
          <w14:textFill>
            <w14:solidFill>
              <w14:schemeClr w14:val="tx1"/>
            </w14:solidFill>
          </w14:textFill>
        </w:rPr>
        <w:t>条</w:t>
      </w:r>
      <w:r>
        <w:rPr>
          <w:rFonts w:hint="default" w:ascii="Times New Roman" w:hAnsi="Times New Roman" w:eastAsia="仿宋_GB2312" w:cs="Times New Roman"/>
          <w:color w:val="000000" w:themeColor="text1"/>
          <w:sz w:val="24"/>
          <w:szCs w:val="24"/>
          <w:u w:val="single"/>
          <w:lang w:eastAsia="zh-CN"/>
          <w14:textFill>
            <w14:solidFill>
              <w14:schemeClr w14:val="tx1"/>
            </w14:solidFill>
          </w14:textFill>
        </w:rPr>
        <w:t>、</w:t>
      </w:r>
      <w:r>
        <w:rPr>
          <w:rFonts w:hint="default" w:ascii="Times New Roman" w:hAnsi="Times New Roman" w:eastAsia="仿宋_GB2312" w:cs="Times New Roman"/>
          <w:color w:val="000000" w:themeColor="text1"/>
          <w:sz w:val="24"/>
          <w:szCs w:val="24"/>
          <w:u w:val="single"/>
          <w:lang w:val="en-US" w:eastAsia="zh-CN"/>
          <w14:textFill>
            <w14:solidFill>
              <w14:schemeClr w14:val="tx1"/>
            </w14:solidFill>
          </w14:textFill>
        </w:rPr>
        <w:t>第四十五条</w:t>
      </w:r>
      <w:r>
        <w:rPr>
          <w:rFonts w:hint="default" w:ascii="Times New Roman" w:hAnsi="Times New Roman" w:eastAsia="仿宋_GB2312" w:cs="Times New Roman"/>
          <w:color w:val="000000" w:themeColor="text1"/>
          <w:sz w:val="24"/>
          <w:szCs w:val="24"/>
          <w14:textFill>
            <w14:solidFill>
              <w14:schemeClr w14:val="tx1"/>
            </w14:solidFill>
          </w14:textFill>
        </w:rPr>
        <w:t>的规定，你有权在收到本告知书之日起</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5</w:t>
      </w:r>
      <w:r>
        <w:rPr>
          <w:rFonts w:hint="default" w:ascii="Times New Roman" w:hAnsi="Times New Roman" w:eastAsia="仿宋_GB2312" w:cs="Times New Roman"/>
          <w:color w:val="000000" w:themeColor="text1"/>
          <w:sz w:val="24"/>
          <w:szCs w:val="24"/>
          <w14:textFill>
            <w14:solidFill>
              <w14:schemeClr w14:val="tx1"/>
            </w14:solidFill>
          </w14:textFill>
        </w:rPr>
        <w:t>日内向</w:t>
      </w:r>
      <w:r>
        <w:rPr>
          <w:rFonts w:hint="default" w:ascii="Times New Roman" w:hAnsi="Times New Roman" w:eastAsia="仿宋_GB2312" w:cs="Times New Roman"/>
          <w:color w:val="000000" w:themeColor="text1"/>
          <w:sz w:val="24"/>
          <w:szCs w:val="24"/>
          <w:u w:val="single"/>
          <w:lang w:val="en-US" w:eastAsia="zh-CN"/>
          <w14:textFill>
            <w14:solidFill>
              <w14:schemeClr w14:val="tx1"/>
            </w14:solidFill>
          </w14:textFill>
        </w:rPr>
        <w:t>澄江市</w:t>
      </w:r>
      <w:r>
        <w:rPr>
          <w:rFonts w:hint="default" w:ascii="Times New Roman" w:hAnsi="Times New Roman" w:eastAsia="仿宋_GB2312" w:cs="Times New Roman"/>
          <w:color w:val="000000" w:themeColor="text1"/>
          <w:sz w:val="24"/>
          <w:szCs w:val="24"/>
          <w:u w:val="single"/>
          <w14:textFill>
            <w14:solidFill>
              <w14:schemeClr w14:val="tx1"/>
            </w14:solidFill>
          </w14:textFill>
        </w:rPr>
        <w:t>应急管理</w:t>
      </w:r>
      <w:r>
        <w:rPr>
          <w:rFonts w:hint="default" w:ascii="Times New Roman" w:hAnsi="Times New Roman" w:eastAsia="仿宋_GB2312" w:cs="Times New Roman"/>
          <w:color w:val="000000" w:themeColor="text1"/>
          <w:sz w:val="24"/>
          <w:szCs w:val="24"/>
          <w:u w:val="single"/>
          <w:lang w:val="en-US" w:eastAsia="zh-CN"/>
          <w14:textFill>
            <w14:solidFill>
              <w14:schemeClr w14:val="tx1"/>
            </w14:solidFill>
          </w14:textFill>
        </w:rPr>
        <w:t>局</w:t>
      </w:r>
      <w:r>
        <w:rPr>
          <w:rFonts w:hint="default" w:ascii="Times New Roman" w:hAnsi="Times New Roman" w:eastAsia="仿宋_GB2312" w:cs="Times New Roman"/>
          <w:color w:val="000000" w:themeColor="text1"/>
          <w:sz w:val="24"/>
          <w:szCs w:val="24"/>
          <w:u w:val="single"/>
          <w14:textFill>
            <w14:solidFill>
              <w14:schemeClr w14:val="tx1"/>
            </w14:solidFill>
          </w14:textFill>
        </w:rPr>
        <w:t>提出</w:t>
      </w:r>
      <w:r>
        <w:rPr>
          <w:rFonts w:hint="default" w:ascii="Times New Roman" w:hAnsi="Times New Roman" w:eastAsia="仿宋_GB2312" w:cs="Times New Roman"/>
          <w:color w:val="000000" w:themeColor="text1"/>
          <w:sz w:val="24"/>
          <w:szCs w:val="24"/>
          <w:u w:val="single"/>
          <w:lang w:val="en-US" w:eastAsia="zh-CN"/>
          <w14:textFill>
            <w14:solidFill>
              <w14:schemeClr w14:val="tx1"/>
            </w14:solidFill>
          </w14:textFill>
        </w:rPr>
        <w:t>陈述、申辩</w:t>
      </w:r>
      <w:r>
        <w:rPr>
          <w:rFonts w:hint="default" w:ascii="Times New Roman" w:hAnsi="Times New Roman" w:eastAsia="仿宋_GB2312" w:cs="Times New Roman"/>
          <w:color w:val="000000" w:themeColor="text1"/>
          <w:sz w:val="24"/>
          <w:szCs w:val="24"/>
          <w14:textFill>
            <w14:solidFill>
              <w14:schemeClr w14:val="tx1"/>
            </w14:solidFill>
          </w14:textFill>
        </w:rPr>
        <w:t>，逾期不提出申请的，视为放弃上述权利。</w:t>
      </w:r>
    </w:p>
    <w:p w14:paraId="0C719A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根据</w:t>
      </w:r>
      <w:r>
        <w:rPr>
          <w:rFonts w:hint="default" w:ascii="Times New Roman" w:hAnsi="Times New Roman" w:eastAsia="仿宋_GB2312" w:cs="Times New Roman"/>
          <w:color w:val="000000" w:themeColor="text1"/>
          <w:sz w:val="24"/>
          <w:szCs w:val="24"/>
          <w:u w:val="single"/>
          <w14:textFill>
            <w14:solidFill>
              <w14:schemeClr w14:val="tx1"/>
            </w14:solidFill>
          </w14:textFill>
        </w:rPr>
        <w:t>《中华人民共和国行政处罚法》第四十</w:t>
      </w:r>
      <w:r>
        <w:rPr>
          <w:rFonts w:hint="default" w:ascii="Times New Roman" w:hAnsi="Times New Roman" w:eastAsia="仿宋_GB2312" w:cs="Times New Roman"/>
          <w:color w:val="000000" w:themeColor="text1"/>
          <w:sz w:val="24"/>
          <w:szCs w:val="24"/>
          <w:u w:val="single"/>
          <w:lang w:val="en-US" w:eastAsia="zh-CN"/>
          <w14:textFill>
            <w14:solidFill>
              <w14:schemeClr w14:val="tx1"/>
            </w14:solidFill>
          </w14:textFill>
        </w:rPr>
        <w:t>四</w:t>
      </w:r>
      <w:r>
        <w:rPr>
          <w:rFonts w:hint="default" w:ascii="Times New Roman" w:hAnsi="Times New Roman" w:eastAsia="仿宋_GB2312" w:cs="Times New Roman"/>
          <w:color w:val="000000" w:themeColor="text1"/>
          <w:sz w:val="24"/>
          <w:szCs w:val="24"/>
          <w:u w:val="single"/>
          <w14:textFill>
            <w14:solidFill>
              <w14:schemeClr w14:val="tx1"/>
            </w14:solidFill>
          </w14:textFill>
        </w:rPr>
        <w:t>条</w:t>
      </w:r>
      <w:r>
        <w:rPr>
          <w:rFonts w:hint="default" w:ascii="Times New Roman" w:hAnsi="Times New Roman" w:eastAsia="仿宋_GB2312" w:cs="Times New Roman"/>
          <w:color w:val="000000" w:themeColor="text1"/>
          <w:sz w:val="24"/>
          <w:szCs w:val="24"/>
          <w:u w:val="single"/>
          <w:lang w:eastAsia="zh-CN"/>
          <w14:textFill>
            <w14:solidFill>
              <w14:schemeClr w14:val="tx1"/>
            </w14:solidFill>
          </w14:textFill>
        </w:rPr>
        <w:t>、</w:t>
      </w:r>
      <w:r>
        <w:rPr>
          <w:rFonts w:hint="default" w:ascii="Times New Roman" w:hAnsi="Times New Roman" w:eastAsia="仿宋_GB2312" w:cs="Times New Roman"/>
          <w:color w:val="000000" w:themeColor="text1"/>
          <w:sz w:val="24"/>
          <w:szCs w:val="24"/>
          <w:u w:val="single"/>
          <w:lang w:val="en-US" w:eastAsia="zh-CN"/>
          <w14:textFill>
            <w14:solidFill>
              <w14:schemeClr w14:val="tx1"/>
            </w14:solidFill>
          </w14:textFill>
        </w:rPr>
        <w:t>第六十三条、第六十四条</w:t>
      </w:r>
      <w:r>
        <w:rPr>
          <w:rFonts w:hint="default" w:ascii="Times New Roman" w:hAnsi="Times New Roman" w:eastAsia="仿宋_GB2312" w:cs="Times New Roman"/>
          <w:color w:val="000000" w:themeColor="text1"/>
          <w:sz w:val="24"/>
          <w:szCs w:val="24"/>
          <w14:textFill>
            <w14:solidFill>
              <w14:schemeClr w14:val="tx1"/>
            </w14:solidFill>
          </w14:textFill>
        </w:rPr>
        <w:t>的规定，你有权在收到本告知书之日起</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5</w:t>
      </w:r>
      <w:r>
        <w:rPr>
          <w:rFonts w:hint="default" w:ascii="Times New Roman" w:hAnsi="Times New Roman" w:eastAsia="仿宋_GB2312" w:cs="Times New Roman"/>
          <w:color w:val="000000" w:themeColor="text1"/>
          <w:sz w:val="24"/>
          <w:szCs w:val="24"/>
          <w14:textFill>
            <w14:solidFill>
              <w14:schemeClr w14:val="tx1"/>
            </w14:solidFill>
          </w14:textFill>
        </w:rPr>
        <w:t>日内向</w:t>
      </w:r>
      <w:r>
        <w:rPr>
          <w:rFonts w:hint="default" w:ascii="Times New Roman" w:hAnsi="Times New Roman" w:eastAsia="仿宋_GB2312" w:cs="Times New Roman"/>
          <w:color w:val="000000" w:themeColor="text1"/>
          <w:sz w:val="24"/>
          <w:szCs w:val="24"/>
          <w:u w:val="single"/>
          <w:lang w:val="en-US" w:eastAsia="zh-CN"/>
          <w14:textFill>
            <w14:solidFill>
              <w14:schemeClr w14:val="tx1"/>
            </w14:solidFill>
          </w14:textFill>
        </w:rPr>
        <w:t>澄江市</w:t>
      </w:r>
      <w:r>
        <w:rPr>
          <w:rFonts w:hint="default" w:ascii="Times New Roman" w:hAnsi="Times New Roman" w:eastAsia="仿宋_GB2312" w:cs="Times New Roman"/>
          <w:color w:val="000000" w:themeColor="text1"/>
          <w:sz w:val="24"/>
          <w:szCs w:val="24"/>
          <w:u w:val="single"/>
          <w14:textFill>
            <w14:solidFill>
              <w14:schemeClr w14:val="tx1"/>
            </w14:solidFill>
          </w14:textFill>
        </w:rPr>
        <w:t>应急管理</w:t>
      </w:r>
      <w:r>
        <w:rPr>
          <w:rFonts w:hint="default" w:ascii="Times New Roman" w:hAnsi="Times New Roman" w:eastAsia="仿宋_GB2312" w:cs="Times New Roman"/>
          <w:color w:val="000000" w:themeColor="text1"/>
          <w:sz w:val="24"/>
          <w:szCs w:val="24"/>
          <w:u w:val="single"/>
          <w:lang w:val="en-US" w:eastAsia="zh-CN"/>
          <w14:textFill>
            <w14:solidFill>
              <w14:schemeClr w14:val="tx1"/>
            </w14:solidFill>
          </w14:textFill>
        </w:rPr>
        <w:t>局</w:t>
      </w:r>
      <w:r>
        <w:rPr>
          <w:rFonts w:hint="default" w:ascii="Times New Roman" w:hAnsi="Times New Roman" w:eastAsia="仿宋_GB2312" w:cs="Times New Roman"/>
          <w:color w:val="000000" w:themeColor="text1"/>
          <w:sz w:val="24"/>
          <w:szCs w:val="24"/>
          <w:u w:val="single"/>
          <w14:textFill>
            <w14:solidFill>
              <w14:schemeClr w14:val="tx1"/>
            </w14:solidFill>
          </w14:textFill>
        </w:rPr>
        <w:t>提出听证申请</w:t>
      </w:r>
      <w:r>
        <w:rPr>
          <w:rFonts w:hint="default" w:ascii="Times New Roman" w:hAnsi="Times New Roman" w:eastAsia="仿宋_GB2312" w:cs="Times New Roman"/>
          <w:color w:val="000000" w:themeColor="text1"/>
          <w:sz w:val="24"/>
          <w:szCs w:val="24"/>
          <w14:textFill>
            <w14:solidFill>
              <w14:schemeClr w14:val="tx1"/>
            </w14:solidFill>
          </w14:textFill>
        </w:rPr>
        <w:t>，逾期不提出申请的，视为放弃上述权利。</w:t>
      </w:r>
    </w:p>
    <w:p w14:paraId="2BF7419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澄江市应急管理局地址：</w:t>
      </w:r>
      <w:r>
        <w:rPr>
          <w:rFonts w:hint="default" w:ascii="Times New Roman" w:hAnsi="Times New Roman" w:eastAsia="仿宋_GB2312" w:cs="Times New Roman"/>
          <w:color w:val="000000" w:themeColor="text1"/>
          <w:sz w:val="24"/>
          <w:szCs w:val="24"/>
          <w:u w:val="single"/>
          <w14:textFill>
            <w14:solidFill>
              <w14:schemeClr w14:val="tx1"/>
            </w14:solidFill>
          </w14:textFill>
        </w:rPr>
        <w:t>澄江</w:t>
      </w:r>
      <w:r>
        <w:rPr>
          <w:rFonts w:hint="default" w:ascii="Times New Roman" w:hAnsi="Times New Roman" w:eastAsia="仿宋_GB2312" w:cs="Times New Roman"/>
          <w:color w:val="000000" w:themeColor="text1"/>
          <w:sz w:val="24"/>
          <w:szCs w:val="24"/>
          <w:u w:val="single"/>
          <w:lang w:val="en-US" w:eastAsia="zh-CN"/>
          <w14:textFill>
            <w14:solidFill>
              <w14:schemeClr w14:val="tx1"/>
            </w14:solidFill>
          </w14:textFill>
        </w:rPr>
        <w:t>市</w:t>
      </w:r>
      <w:r>
        <w:rPr>
          <w:rFonts w:hint="default" w:ascii="Times New Roman" w:hAnsi="Times New Roman" w:eastAsia="仿宋_GB2312" w:cs="Times New Roman"/>
          <w:color w:val="000000" w:themeColor="text1"/>
          <w:sz w:val="24"/>
          <w:szCs w:val="24"/>
          <w:u w:val="single"/>
          <w14:textFill>
            <w14:solidFill>
              <w14:schemeClr w14:val="tx1"/>
            </w14:solidFill>
          </w14:textFill>
        </w:rPr>
        <w:t>凤麓街道公园巷</w:t>
      </w:r>
      <w:r>
        <w:rPr>
          <w:rFonts w:hint="default" w:ascii="Times New Roman" w:hAnsi="Times New Roman" w:eastAsia="仿宋_GB2312" w:cs="Times New Roman"/>
          <w:color w:val="000000" w:themeColor="text1"/>
          <w:sz w:val="24"/>
          <w:szCs w:val="24"/>
          <w:u w:val="single"/>
          <w:lang w:val="en-US" w:eastAsia="zh-CN"/>
          <w14:textFill>
            <w14:solidFill>
              <w14:schemeClr w14:val="tx1"/>
            </w14:solidFill>
          </w14:textFill>
        </w:rPr>
        <w:t>24号</w:t>
      </w:r>
      <w:r>
        <w:rPr>
          <w:rFonts w:hint="default" w:ascii="Times New Roman" w:hAnsi="Times New Roman" w:eastAsia="仿宋_GB2312" w:cs="Times New Roman"/>
          <w:color w:val="000000" w:themeColor="text1"/>
          <w:sz w:val="24"/>
          <w:szCs w:val="24"/>
          <w:u w:val="single"/>
          <w14:textFill>
            <w14:solidFill>
              <w14:schemeClr w14:val="tx1"/>
            </w14:solidFill>
          </w14:textFill>
        </w:rPr>
        <w:t xml:space="preserve">         </w:t>
      </w:r>
    </w:p>
    <w:p w14:paraId="66F8028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联系人：</w:t>
      </w:r>
      <w:r>
        <w:rPr>
          <w:rFonts w:hint="default" w:ascii="Times New Roman" w:hAnsi="Times New Roman" w:eastAsia="仿宋_GB2312" w:cs="Times New Roman"/>
          <w:color w:val="000000" w:themeColor="text1"/>
          <w:sz w:val="24"/>
          <w:szCs w:val="24"/>
          <w:u w:val="single"/>
          <w14:textFill>
            <w14:solidFill>
              <w14:schemeClr w14:val="tx1"/>
            </w14:solidFill>
          </w14:textFill>
        </w:rPr>
        <w:t xml:space="preserve">   </w:t>
      </w:r>
      <w:r>
        <w:rPr>
          <w:rFonts w:hint="default" w:ascii="Times New Roman" w:hAnsi="Times New Roman" w:eastAsia="仿宋_GB2312" w:cs="Times New Roman"/>
          <w:color w:val="000000" w:themeColor="text1"/>
          <w:sz w:val="24"/>
          <w:szCs w:val="24"/>
          <w:u w:val="single"/>
          <w:lang w:val="en-US" w:eastAsia="zh-CN"/>
          <w14:textFill>
            <w14:solidFill>
              <w14:schemeClr w14:val="tx1"/>
            </w14:solidFill>
          </w14:textFill>
        </w:rPr>
        <w:t>周璐</w:t>
      </w:r>
      <w:r>
        <w:rPr>
          <w:rFonts w:hint="default" w:ascii="Times New Roman" w:hAnsi="Times New Roman" w:eastAsia="仿宋_GB2312" w:cs="Times New Roman"/>
          <w:color w:val="000000" w:themeColor="text1"/>
          <w:sz w:val="24"/>
          <w:szCs w:val="24"/>
          <w:u w:val="single"/>
          <w14:textFill>
            <w14:solidFill>
              <w14:schemeClr w14:val="tx1"/>
            </w14:solidFill>
          </w14:textFill>
        </w:rPr>
        <w:t xml:space="preserve">   </w:t>
      </w:r>
      <w:r>
        <w:rPr>
          <w:rFonts w:hint="default" w:ascii="Times New Roman" w:hAnsi="Times New Roman" w:eastAsia="仿宋_GB2312" w:cs="Times New Roman"/>
          <w:color w:val="000000" w:themeColor="text1"/>
          <w:sz w:val="24"/>
          <w:szCs w:val="24"/>
          <w14:textFill>
            <w14:solidFill>
              <w14:schemeClr w14:val="tx1"/>
            </w14:solidFill>
          </w14:textFill>
        </w:rPr>
        <w:t>联系电话</w:t>
      </w:r>
      <w:r>
        <w:rPr>
          <w:rFonts w:hint="default" w:ascii="Times New Roman" w:hAnsi="Times New Roman" w:eastAsia="仿宋_GB2312" w:cs="Times New Roman"/>
          <w:color w:val="000000" w:themeColor="text1"/>
          <w:sz w:val="24"/>
          <w:szCs w:val="24"/>
          <w:u w:val="single"/>
          <w14:textFill>
            <w14:solidFill>
              <w14:schemeClr w14:val="tx1"/>
            </w14:solidFill>
          </w14:textFill>
        </w:rPr>
        <w:t xml:space="preserve">0877—6682573        </w:t>
      </w:r>
      <w:r>
        <w:rPr>
          <w:rFonts w:hint="default" w:ascii="Times New Roman" w:hAnsi="Times New Roman" w:eastAsia="仿宋_GB2312" w:cs="Times New Roman"/>
          <w:color w:val="000000" w:themeColor="text1"/>
          <w:sz w:val="24"/>
          <w:szCs w:val="24"/>
          <w14:textFill>
            <w14:solidFill>
              <w14:schemeClr w14:val="tx1"/>
            </w14:solidFill>
          </w14:textFill>
        </w:rPr>
        <w:t>邮政编码：</w:t>
      </w:r>
      <w:r>
        <w:rPr>
          <w:rFonts w:hint="default" w:ascii="Times New Roman" w:hAnsi="Times New Roman" w:eastAsia="仿宋_GB2312" w:cs="Times New Roman"/>
          <w:color w:val="000000" w:themeColor="text1"/>
          <w:sz w:val="24"/>
          <w:szCs w:val="24"/>
          <w:u w:val="single"/>
          <w14:textFill>
            <w14:solidFill>
              <w14:schemeClr w14:val="tx1"/>
            </w14:solidFill>
          </w14:textFill>
        </w:rPr>
        <w:t xml:space="preserve">  652599    </w:t>
      </w:r>
    </w:p>
    <w:p w14:paraId="6B8557F5">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p>
    <w:p w14:paraId="7920806D">
      <w:pPr>
        <w:keepNext w:val="0"/>
        <w:keepLines w:val="0"/>
        <w:pageBreakBefore w:val="0"/>
        <w:widowControl w:val="0"/>
        <w:kinsoku/>
        <w:wordWrap/>
        <w:overflowPunct/>
        <w:topLinePunct w:val="0"/>
        <w:autoSpaceDE/>
        <w:autoSpaceDN/>
        <w:bidi w:val="0"/>
        <w:adjustRightInd/>
        <w:snapToGrid/>
        <w:spacing w:line="400" w:lineRule="exact"/>
        <w:ind w:right="960" w:firstLine="480" w:firstLineChars="200"/>
        <w:jc w:val="right"/>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 xml:space="preserve">                         </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4"/>
          <w:szCs w:val="24"/>
          <w14:textFill>
            <w14:solidFill>
              <w14:schemeClr w14:val="tx1"/>
            </w14:solidFill>
          </w14:textFill>
        </w:rPr>
        <w:t xml:space="preserve">  </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4"/>
          <w:szCs w:val="24"/>
          <w14:textFill>
            <w14:solidFill>
              <w14:schemeClr w14:val="tx1"/>
            </w14:solidFill>
          </w14:textFill>
        </w:rPr>
        <w:t>澄江</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市应急</w:t>
      </w:r>
      <w:r>
        <w:rPr>
          <w:rFonts w:hint="default" w:ascii="Times New Roman" w:hAnsi="Times New Roman" w:eastAsia="仿宋_GB2312" w:cs="Times New Roman"/>
          <w:color w:val="000000" w:themeColor="text1"/>
          <w:sz w:val="24"/>
          <w:szCs w:val="24"/>
          <w14:textFill>
            <w14:solidFill>
              <w14:schemeClr w14:val="tx1"/>
            </w14:solidFill>
          </w14:textFill>
        </w:rPr>
        <w:t>管理局</w:t>
      </w:r>
    </w:p>
    <w:p w14:paraId="3FE96455">
      <w:pPr>
        <w:keepNext w:val="0"/>
        <w:keepLines w:val="0"/>
        <w:pageBreakBefore w:val="0"/>
        <w:widowControl w:val="0"/>
        <w:kinsoku/>
        <w:wordWrap/>
        <w:overflowPunct/>
        <w:topLinePunct w:val="0"/>
        <w:autoSpaceDE/>
        <w:autoSpaceDN/>
        <w:bidi w:val="0"/>
        <w:adjustRightInd/>
        <w:snapToGrid/>
        <w:spacing w:line="400" w:lineRule="exact"/>
        <w:ind w:firstLine="5520" w:firstLineChars="2300"/>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20</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 xml:space="preserve">25年 12 </w:t>
      </w:r>
      <w:r>
        <w:rPr>
          <w:rFonts w:hint="default" w:ascii="Times New Roman" w:hAnsi="Times New Roman" w:eastAsia="仿宋_GB2312" w:cs="Times New Roman"/>
          <w:color w:val="000000" w:themeColor="text1"/>
          <w:sz w:val="24"/>
          <w:szCs w:val="24"/>
          <w14:textFill>
            <w14:solidFill>
              <w14:schemeClr w14:val="tx1"/>
            </w14:solidFill>
          </w14:textFill>
        </w:rPr>
        <w:t>月</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 xml:space="preserve"> 24</w:t>
      </w:r>
      <w:bookmarkStart w:id="0" w:name="_GoBack"/>
      <w:bookmarkEnd w:id="0"/>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4"/>
          <w:szCs w:val="24"/>
          <w14:textFill>
            <w14:solidFill>
              <w14:schemeClr w14:val="tx1"/>
            </w14:solidFill>
          </w14:textFill>
        </w:rPr>
        <w:t>日</w:t>
      </w:r>
    </w:p>
    <w:p w14:paraId="5CE9ED58">
      <w:pPr>
        <w:pStyle w:val="2"/>
        <w:rPr>
          <w:rFonts w:hint="default" w:ascii="Times New Roman" w:hAnsi="Times New Roman" w:eastAsia="仿宋_GB2312" w:cs="Times New Roman"/>
          <w:color w:val="000000" w:themeColor="text1"/>
          <w:sz w:val="24"/>
          <w:szCs w:val="24"/>
          <w14:textFill>
            <w14:solidFill>
              <w14:schemeClr w14:val="tx1"/>
            </w14:solidFill>
          </w14:textFill>
        </w:rPr>
      </w:pPr>
    </w:p>
    <w:p w14:paraId="2A4AA469">
      <w:pPr>
        <w:rPr>
          <w:rFonts w:hint="default" w:ascii="Times New Roman" w:hAnsi="Times New Roman" w:eastAsia="仿宋_GB2312" w:cs="Times New Roman"/>
          <w:color w:val="000000" w:themeColor="text1"/>
          <w:sz w:val="24"/>
          <w:szCs w:val="24"/>
          <w14:textFill>
            <w14:solidFill>
              <w14:schemeClr w14:val="tx1"/>
            </w14:solidFill>
          </w14:textFill>
        </w:rPr>
      </w:pPr>
    </w:p>
    <w:p w14:paraId="47C3B0AD">
      <w:pPr>
        <w:pStyle w:val="2"/>
        <w:rPr>
          <w:rFonts w:hint="default" w:ascii="Times New Roman" w:hAnsi="Times New Roman" w:eastAsia="仿宋_GB2312" w:cs="Times New Roman"/>
          <w:color w:val="000000" w:themeColor="text1"/>
          <w:sz w:val="24"/>
          <w:szCs w:val="24"/>
          <w14:textFill>
            <w14:solidFill>
              <w14:schemeClr w14:val="tx1"/>
            </w14:solidFill>
          </w14:textFill>
        </w:rPr>
      </w:pPr>
    </w:p>
    <w:p w14:paraId="53A5E9D8">
      <w:pPr>
        <w:pStyle w:val="2"/>
        <w:rPr>
          <w:rFonts w:hint="default" w:ascii="Times New Roman" w:hAnsi="Times New Roman" w:eastAsia="仿宋_GB2312" w:cs="Times New Roman"/>
          <w:color w:val="000000" w:themeColor="text1"/>
          <w:sz w:val="24"/>
          <w:szCs w:val="24"/>
          <w14:textFill>
            <w14:solidFill>
              <w14:schemeClr w14:val="tx1"/>
            </w14:solidFill>
          </w14:textFill>
        </w:rPr>
      </w:pPr>
    </w:p>
    <w:p w14:paraId="0920CE5F">
      <w:pPr>
        <w:rPr>
          <w:rFonts w:hint="default" w:ascii="Times New Roman" w:hAnsi="Times New Roman" w:eastAsia="仿宋_GB2312" w:cs="Times New Roman"/>
          <w:color w:val="000000" w:themeColor="text1"/>
          <w:sz w:val="24"/>
          <w:szCs w:val="24"/>
          <w14:textFill>
            <w14:solidFill>
              <w14:schemeClr w14:val="tx1"/>
            </w14:solidFill>
          </w14:textFill>
        </w:rPr>
      </w:pPr>
    </w:p>
    <w:p w14:paraId="463407B6">
      <w:pPr>
        <w:pStyle w:val="2"/>
        <w:rPr>
          <w:rFonts w:hint="default" w:ascii="Times New Roman" w:hAnsi="Times New Roman" w:eastAsia="仿宋_GB2312" w:cs="Times New Roman"/>
          <w:color w:val="000000" w:themeColor="text1"/>
          <w:sz w:val="24"/>
          <w:szCs w:val="24"/>
          <w14:textFill>
            <w14:solidFill>
              <w14:schemeClr w14:val="tx1"/>
            </w14:solidFill>
          </w14:textFill>
        </w:rPr>
      </w:pPr>
    </w:p>
    <w:p w14:paraId="53FFF034">
      <w:pPr>
        <w:rPr>
          <w:rFonts w:hint="default"/>
        </w:rPr>
      </w:pPr>
    </w:p>
    <w:p w14:paraId="769D679E">
      <w:pPr>
        <w:rPr>
          <w:rFonts w:hint="default" w:ascii="Times New Roman" w:hAnsi="Times New Roman" w:eastAsia="仿宋_GB2312" w:cs="Times New Roman"/>
          <w:color w:val="000000" w:themeColor="text1"/>
          <w:sz w:val="24"/>
          <w:szCs w:val="24"/>
          <w14:textFill>
            <w14:solidFill>
              <w14:schemeClr w14:val="tx1"/>
            </w14:solidFill>
          </w14:textFill>
        </w:rPr>
      </w:pPr>
    </w:p>
    <w:p w14:paraId="79DD0432">
      <w:pPr>
        <w:spacing w:line="340" w:lineRule="exact"/>
        <w:ind w:firstLine="240" w:firstLineChars="1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10160</wp:posOffset>
                </wp:positionV>
                <wp:extent cx="5486400" cy="0"/>
                <wp:effectExtent l="0" t="9525" r="0" b="9525"/>
                <wp:wrapNone/>
                <wp:docPr id="2" name="直接连接符 2"/>
                <wp:cNvGraphicFramePr/>
                <a:graphic xmlns:a="http://schemas.openxmlformats.org/drawingml/2006/main">
                  <a:graphicData uri="http://schemas.microsoft.com/office/word/2010/wordprocessingShape">
                    <wps:wsp>
                      <wps:cNvCnPr/>
                      <wps:spPr>
                        <a:xfrm>
                          <a:off x="0" y="0"/>
                          <a:ext cx="5486400" cy="0"/>
                        </a:xfrm>
                        <a:prstGeom prst="line">
                          <a:avLst/>
                        </a:prstGeom>
                        <a:ln w="19050"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0pt;margin-top:0.8pt;height:0pt;width:432pt;z-index:251659264;mso-width-relative:page;mso-height-relative:page;" filled="f" stroked="t" coordsize="21600,21600" o:gfxdata="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knY5dAAAAAEAQAADwAAAAAAAAABACAAAAAiAAAAZHJzL2Rvd25yZXYueG1sUEsBAhQA&#10;FAAAAAgAh07iQPua7NP6AQAA7wMAAA4AAAAAAAAAAQAgAAAAHwEAAGRycy9lMm9Eb2MueG1sUEsF&#10;BgAAAAAGAAYAWQEAAIsFA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color w:val="000000" w:themeColor="text1"/>
          <w:sz w:val="24"/>
          <w:szCs w:val="24"/>
          <w14:textFill>
            <w14:solidFill>
              <w14:schemeClr w14:val="tx1"/>
            </w14:solidFill>
          </w14:textFill>
        </w:rPr>
        <w:t>本文书一式两份：一份由应急管理部门备案，一份交被处罚当事人。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hNzkwNDgyNGY1MjFjZmM5M2ViYmNkZGE5NmNlNDMifQ=="/>
  </w:docVars>
  <w:rsids>
    <w:rsidRoot w:val="00000000"/>
    <w:rsid w:val="00417EF4"/>
    <w:rsid w:val="015C28F1"/>
    <w:rsid w:val="0216715F"/>
    <w:rsid w:val="02BC7D06"/>
    <w:rsid w:val="05296D57"/>
    <w:rsid w:val="052E116F"/>
    <w:rsid w:val="05FB0B46"/>
    <w:rsid w:val="06ED4932"/>
    <w:rsid w:val="071E6BDD"/>
    <w:rsid w:val="0A156528"/>
    <w:rsid w:val="0B867103"/>
    <w:rsid w:val="0C401589"/>
    <w:rsid w:val="0C8C3AA0"/>
    <w:rsid w:val="0D223EB5"/>
    <w:rsid w:val="0DE50EF7"/>
    <w:rsid w:val="10204D18"/>
    <w:rsid w:val="10814F15"/>
    <w:rsid w:val="14DC2BD0"/>
    <w:rsid w:val="151D1675"/>
    <w:rsid w:val="168F0113"/>
    <w:rsid w:val="17095596"/>
    <w:rsid w:val="18422604"/>
    <w:rsid w:val="18A1557C"/>
    <w:rsid w:val="1CBD5FF9"/>
    <w:rsid w:val="1D570900"/>
    <w:rsid w:val="1EEB57A3"/>
    <w:rsid w:val="217557F8"/>
    <w:rsid w:val="23B76C7B"/>
    <w:rsid w:val="267900DF"/>
    <w:rsid w:val="27734588"/>
    <w:rsid w:val="2A4F4743"/>
    <w:rsid w:val="2C206CE0"/>
    <w:rsid w:val="2DF95719"/>
    <w:rsid w:val="31012C04"/>
    <w:rsid w:val="32424F81"/>
    <w:rsid w:val="3679148F"/>
    <w:rsid w:val="36BF3346"/>
    <w:rsid w:val="37425981"/>
    <w:rsid w:val="384D0B00"/>
    <w:rsid w:val="3885367D"/>
    <w:rsid w:val="3B893F22"/>
    <w:rsid w:val="3DBD6105"/>
    <w:rsid w:val="3E9926CE"/>
    <w:rsid w:val="408314F4"/>
    <w:rsid w:val="42162288"/>
    <w:rsid w:val="42FE51F6"/>
    <w:rsid w:val="43BE4985"/>
    <w:rsid w:val="44D8532E"/>
    <w:rsid w:val="4517259F"/>
    <w:rsid w:val="45CB2655"/>
    <w:rsid w:val="45EF13EA"/>
    <w:rsid w:val="47664CD4"/>
    <w:rsid w:val="48903DFE"/>
    <w:rsid w:val="4961028C"/>
    <w:rsid w:val="49D46CB0"/>
    <w:rsid w:val="4EA50C1B"/>
    <w:rsid w:val="5054095A"/>
    <w:rsid w:val="5149076C"/>
    <w:rsid w:val="557D644E"/>
    <w:rsid w:val="562418E0"/>
    <w:rsid w:val="57983CA7"/>
    <w:rsid w:val="57D4431F"/>
    <w:rsid w:val="5A2D1434"/>
    <w:rsid w:val="5A31568B"/>
    <w:rsid w:val="5D1800DF"/>
    <w:rsid w:val="5DD62B9F"/>
    <w:rsid w:val="5E757D37"/>
    <w:rsid w:val="5EB17168"/>
    <w:rsid w:val="5FCB5E29"/>
    <w:rsid w:val="623E6F65"/>
    <w:rsid w:val="624A03AB"/>
    <w:rsid w:val="63844520"/>
    <w:rsid w:val="64C71494"/>
    <w:rsid w:val="651F378D"/>
    <w:rsid w:val="65A265C2"/>
    <w:rsid w:val="66065FEC"/>
    <w:rsid w:val="664B7EA3"/>
    <w:rsid w:val="670562A3"/>
    <w:rsid w:val="6A3F7B4F"/>
    <w:rsid w:val="6B202330"/>
    <w:rsid w:val="6DD84F02"/>
    <w:rsid w:val="6EDD10D4"/>
    <w:rsid w:val="7063449F"/>
    <w:rsid w:val="71A36DE5"/>
    <w:rsid w:val="73261A7B"/>
    <w:rsid w:val="75792336"/>
    <w:rsid w:val="75E66FC2"/>
    <w:rsid w:val="76C3515A"/>
    <w:rsid w:val="77916CC4"/>
    <w:rsid w:val="77CF723B"/>
    <w:rsid w:val="79327199"/>
    <w:rsid w:val="7A811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公1"/>
    <w:basedOn w:val="1"/>
    <w:next w:val="1"/>
    <w:qFormat/>
    <w:uiPriority w:val="0"/>
    <w:pPr>
      <w:ind w:firstLine="200" w:firstLineChars="200"/>
      <w:jc w:val="left"/>
    </w:pPr>
    <w:rPr>
      <w:rFonts w:eastAsia="仿宋_GB2312"/>
    </w:rPr>
  </w:style>
  <w:style w:type="paragraph" w:styleId="3">
    <w:name w:val="Normal Indent"/>
    <w:basedOn w:val="1"/>
    <w:next w:val="1"/>
    <w:qFormat/>
    <w:uiPriority w:val="0"/>
    <w:pPr>
      <w:snapToGrid w:val="0"/>
      <w:spacing w:line="300" w:lineRule="auto"/>
      <w:ind w:firstLine="556"/>
    </w:pPr>
    <w:rPr>
      <w:rFonts w:ascii="仿宋_GB2312" w:eastAsia="仿宋_GB2312"/>
      <w:kern w:val="0"/>
      <w:szCs w:val="20"/>
    </w:rPr>
  </w:style>
  <w:style w:type="paragraph" w:styleId="4">
    <w:name w:val="Normal (Web)"/>
    <w:basedOn w:val="1"/>
    <w:qFormat/>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992</Words>
  <Characters>1040</Characters>
  <Lines>0</Lines>
  <Paragraphs>0</Paragraphs>
  <TotalTime>25</TotalTime>
  <ScaleCrop>false</ScaleCrop>
  <LinksUpToDate>false</LinksUpToDate>
  <CharactersWithSpaces>1114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zj</dc:creator>
  <cp:lastModifiedBy>开小差</cp:lastModifiedBy>
  <cp:lastPrinted>2025-12-25T01:10:17Z</cp:lastPrinted>
  <dcterms:modified xsi:type="dcterms:W3CDTF">2025-12-25T01:25:07Z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E585B5C29F65465F83B00D41EC24281C_12</vt:lpwstr>
  </property>
  <property fmtid="{D5CDD505-2E9C-101B-9397-08002B2CF9AE}" pid="4" name="KSOTemplateDocerSaveRecord">
    <vt:lpwstr>eyJoZGlkIjoiOWVhNzkwNDgyNGY1MjFjZmM5M2ViYmNkZGE5NmNlNDMiLCJ1c2VySWQiOiI2NDM2NDc2NzIifQ==</vt:lpwstr>
  </property>
</Properties>
</file>