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C21BC6">
      <w:pPr>
        <w:widowControl/>
        <w:adjustRightInd w:val="0"/>
        <w:snapToGrid w:val="0"/>
        <w:jc w:val="center"/>
        <w:rPr>
          <w:rFonts w:ascii="Times New Roman" w:hAnsi="Times New Roman" w:eastAsia="隶书" w:cs="Times New Roman"/>
          <w:b/>
          <w:color w:val="FF0000"/>
          <w:sz w:val="130"/>
          <w:szCs w:val="84"/>
        </w:rPr>
      </w:pPr>
      <w:r>
        <w:rPr>
          <w:rFonts w:ascii="Times New Roman" w:hAnsi="Times New Roman" w:eastAsia="隶书" w:cs="Times New Roman"/>
          <w:b/>
          <w:color w:val="FF0000"/>
          <w:sz w:val="130"/>
          <w:szCs w:val="84"/>
        </w:rPr>
        <w:t>澄江水利信息</w:t>
      </w:r>
    </w:p>
    <w:p w14:paraId="6C45EEE5">
      <w:pPr>
        <w:widowControl/>
        <w:jc w:val="center"/>
        <w:rPr>
          <w:rFonts w:ascii="Times New Roman" w:hAnsi="Times New Roman" w:eastAsia="方正楷体_GBK" w:cs="Times New Roman"/>
          <w:b/>
          <w:sz w:val="36"/>
          <w:szCs w:val="36"/>
        </w:rPr>
      </w:pPr>
    </w:p>
    <w:p w14:paraId="5F32E5F4">
      <w:pPr>
        <w:widowControl/>
        <w:jc w:val="center"/>
        <w:rPr>
          <w:rFonts w:ascii="Times New Roman" w:hAnsi="Times New Roman" w:eastAsia="方正楷体_GBK" w:cs="Times New Roman"/>
          <w:b/>
          <w:sz w:val="36"/>
          <w:szCs w:val="36"/>
        </w:rPr>
      </w:pPr>
      <w:r>
        <w:rPr>
          <w:rFonts w:ascii="Times New Roman" w:hAnsi="Times New Roman" w:eastAsia="方正楷体_GBK" w:cs="Times New Roman"/>
          <w:b/>
          <w:sz w:val="36"/>
          <w:szCs w:val="36"/>
        </w:rPr>
        <w:t>第6</w:t>
      </w:r>
      <w:r>
        <w:rPr>
          <w:rFonts w:hint="eastAsia" w:eastAsia="方正楷体_GBK" w:cs="Times New Roman"/>
          <w:b/>
          <w:sz w:val="36"/>
          <w:szCs w:val="36"/>
          <w:lang w:val="en-US" w:eastAsia="zh-CN"/>
        </w:rPr>
        <w:t>3</w:t>
      </w:r>
      <w:r>
        <w:rPr>
          <w:rFonts w:ascii="Times New Roman" w:hAnsi="Times New Roman" w:eastAsia="方正楷体_GBK" w:cs="Times New Roman"/>
          <w:b/>
          <w:sz w:val="36"/>
          <w:szCs w:val="36"/>
        </w:rPr>
        <w:t>期</w:t>
      </w:r>
    </w:p>
    <w:p w14:paraId="51FDDA46">
      <w:pPr>
        <w:pStyle w:val="15"/>
        <w:rPr>
          <w:rFonts w:ascii="Times New Roman" w:hAnsi="Times New Roman" w:cs="Times New Roman"/>
        </w:rPr>
      </w:pPr>
    </w:p>
    <w:p w14:paraId="2A087C39">
      <w:pPr>
        <w:widowControl/>
        <w:adjustRightInd w:val="0"/>
        <w:snapToGrid w:val="0"/>
        <w:ind w:firstLine="446" w:firstLineChars="148"/>
        <w:rPr>
          <w:rFonts w:ascii="Times New Roman" w:hAnsi="Times New Roman" w:eastAsia="方正小标宋_GBK" w:cs="Times New Roman"/>
          <w:b/>
          <w:sz w:val="30"/>
          <w:szCs w:val="30"/>
        </w:rPr>
      </w:pPr>
    </w:p>
    <w:p w14:paraId="35CC633E">
      <w:pPr>
        <w:widowControl/>
        <w:adjustRightInd w:val="0"/>
        <w:snapToGrid w:val="0"/>
        <w:spacing w:line="400" w:lineRule="exact"/>
        <w:ind w:firstLine="600" w:firstLineChars="200"/>
        <w:rPr>
          <w:rFonts w:ascii="Times New Roman" w:hAnsi="Times New Roman" w:eastAsia="方正小标宋_GBK" w:cs="Times New Roman"/>
          <w:b w:val="0"/>
          <w:bCs/>
          <w:sz w:val="30"/>
          <w:szCs w:val="30"/>
        </w:rPr>
      </w:pPr>
      <w:r>
        <w:rPr>
          <w:rFonts w:ascii="Times New Roman" w:hAnsi="Times New Roman" w:eastAsia="方正小标宋_GBK" w:cs="Times New Roman"/>
          <w:b w:val="0"/>
          <w:bCs/>
          <w:sz w:val="30"/>
          <w:szCs w:val="30"/>
        </w:rPr>
        <w:t>澄江</w:t>
      </w:r>
      <w:r>
        <w:rPr>
          <w:rFonts w:ascii="Times New Roman" w:hAnsi="Times New Roman" w:eastAsia="方正小标宋_GBK" w:cs="Times New Roman"/>
          <w:b w:val="0"/>
          <w:bCs/>
          <w:sz w:val="30"/>
          <w:szCs w:val="30"/>
          <w:lang w:eastAsia="zh-CN"/>
        </w:rPr>
        <w:t>市</w:t>
      </w:r>
      <w:r>
        <w:rPr>
          <w:rFonts w:ascii="Times New Roman" w:hAnsi="Times New Roman" w:eastAsia="方正小标宋_GBK" w:cs="Times New Roman"/>
          <w:b w:val="0"/>
          <w:bCs/>
          <w:sz w:val="30"/>
          <w:szCs w:val="30"/>
        </w:rPr>
        <w:t xml:space="preserve">水利局     </w:t>
      </w:r>
      <w:r>
        <w:rPr>
          <w:rFonts w:hint="eastAsia" w:eastAsia="方正小标宋_GBK" w:cs="Times New Roman"/>
          <w:b w:val="0"/>
          <w:bCs/>
          <w:sz w:val="30"/>
          <w:szCs w:val="30"/>
          <w:lang w:val="en-US" w:eastAsia="zh-CN"/>
        </w:rPr>
        <w:t xml:space="preserve"> </w:t>
      </w:r>
      <w:r>
        <w:rPr>
          <w:rFonts w:ascii="Times New Roman" w:hAnsi="Times New Roman" w:eastAsia="方正小标宋_GBK" w:cs="Times New Roman"/>
          <w:b w:val="0"/>
          <w:bCs/>
          <w:sz w:val="30"/>
          <w:szCs w:val="30"/>
        </w:rPr>
        <w:t xml:space="preserve">          </w:t>
      </w:r>
      <w:r>
        <w:rPr>
          <w:rFonts w:hint="eastAsia" w:eastAsia="方正小标宋_GBK" w:cs="Times New Roman"/>
          <w:b w:val="0"/>
          <w:bCs/>
          <w:sz w:val="30"/>
          <w:szCs w:val="30"/>
          <w:lang w:val="en-US" w:eastAsia="zh-CN"/>
        </w:rPr>
        <w:t xml:space="preserve"> </w:t>
      </w:r>
      <w:r>
        <w:rPr>
          <w:rFonts w:ascii="Times New Roman" w:hAnsi="Times New Roman" w:eastAsia="方正小标宋_GBK" w:cs="Times New Roman"/>
          <w:b w:val="0"/>
          <w:bCs/>
          <w:sz w:val="30"/>
          <w:szCs w:val="30"/>
        </w:rPr>
        <w:t xml:space="preserve">      20</w:t>
      </w:r>
      <w:r>
        <w:rPr>
          <w:rFonts w:ascii="Times New Roman" w:hAnsi="Times New Roman" w:eastAsia="方正小标宋_GBK" w:cs="Times New Roman"/>
          <w:b w:val="0"/>
          <w:bCs/>
          <w:sz w:val="30"/>
          <w:szCs w:val="30"/>
          <w:lang w:val="en-US" w:eastAsia="zh-CN"/>
        </w:rPr>
        <w:t>25</w:t>
      </w:r>
      <w:r>
        <w:rPr>
          <w:rFonts w:ascii="Times New Roman" w:hAnsi="Times New Roman" w:eastAsia="方正小标宋_GBK" w:cs="Times New Roman"/>
          <w:b w:val="0"/>
          <w:bCs/>
          <w:sz w:val="30"/>
          <w:szCs w:val="30"/>
        </w:rPr>
        <w:t>年8月</w:t>
      </w:r>
      <w:r>
        <w:rPr>
          <w:rFonts w:hint="eastAsia" w:eastAsia="方正小标宋_GBK" w:cs="Times New Roman"/>
          <w:b w:val="0"/>
          <w:bCs/>
          <w:sz w:val="30"/>
          <w:szCs w:val="30"/>
          <w:lang w:val="en-US" w:eastAsia="zh-CN"/>
        </w:rPr>
        <w:t>26</w:t>
      </w:r>
      <w:r>
        <w:rPr>
          <w:rFonts w:ascii="Times New Roman" w:hAnsi="Times New Roman" w:eastAsia="方正小标宋_GBK" w:cs="Times New Roman"/>
          <w:b w:val="0"/>
          <w:bCs/>
          <w:sz w:val="30"/>
          <w:szCs w:val="30"/>
        </w:rPr>
        <w:t>日</w:t>
      </w:r>
    </w:p>
    <w:p w14:paraId="23EAB102">
      <w:pPr>
        <w:spacing w:line="400" w:lineRule="exact"/>
        <w:ind w:firstLine="103" w:firstLineChars="49"/>
        <w:jc w:val="center"/>
        <w:rPr>
          <w:rFonts w:ascii="Times New Roman" w:hAnsi="Times New Roman" w:eastAsia="方正仿宋_GBK" w:cs="Times New Roman"/>
          <w:b/>
          <w:color w:val="FF0000"/>
          <w:szCs w:val="32"/>
        </w:rPr>
      </w:pPr>
      <w:r>
        <w:rPr>
          <w:rFonts w:ascii="Times New Roman" w:hAnsi="Times New Roman" w:eastAsia="方正仿宋_GBK" w:cs="Times New Roman"/>
          <w:b/>
          <w:color w:val="FF0000"/>
          <w:szCs w:val="32"/>
        </w:rPr>
        <w:t xml:space="preserve">  ——————————————————————————————————————</w:t>
      </w:r>
    </w:p>
    <w:p w14:paraId="26E6D8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left="0" w:right="0" w:firstLine="880" w:firstLineChars="200"/>
        <w:jc w:val="both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kern w:val="2"/>
          <w:sz w:val="44"/>
          <w:szCs w:val="44"/>
          <w:highlight w:val="none"/>
          <w:lang w:val="en-US" w:eastAsia="zh-CN" w:bidi="ar-SA"/>
        </w:rPr>
      </w:pPr>
    </w:p>
    <w:p w14:paraId="34128CB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  <w:t>突出均衡、落在精准、强调高效，</w:t>
      </w:r>
    </w:p>
    <w:p w14:paraId="20945FF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  <w:t>澄江市拦蓄带运行为抚仙湖保护持续发力</w:t>
      </w:r>
    </w:p>
    <w:p w14:paraId="67B948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0885D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347335" cy="2658110"/>
            <wp:effectExtent l="0" t="0" r="5715" b="8890"/>
            <wp:docPr id="3" name="图片 3" descr="C:/Users/Administrator/Desktop/微信图片_20250828162208_368_130.png微信图片_20250828162208_368_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微信图片_20250828162208_368_130.png微信图片_20250828162208_368_130"/>
                    <pic:cNvPicPr>
                      <a:picLocks noChangeAspect="1"/>
                    </pic:cNvPicPr>
                  </pic:nvPicPr>
                  <pic:blipFill>
                    <a:blip r:embed="rId4"/>
                    <a:srcRect t="1205" b="1205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096AE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为深入贯彻落实生态文明建设要求，</w:t>
      </w:r>
      <w:r>
        <w:rPr>
          <w:rFonts w:ascii="方正仿宋_GBK" w:hAnsi="方正仿宋_GBK" w:eastAsia="方正仿宋_GBK" w:cs="方正仿宋_GBK"/>
          <w:sz w:val="32"/>
          <w:szCs w:val="32"/>
        </w:rPr>
        <w:t>澄江市水</w:t>
      </w:r>
      <w:bookmarkStart w:id="0" w:name="_GoBack"/>
      <w:bookmarkEnd w:id="0"/>
      <w:r>
        <w:rPr>
          <w:rFonts w:ascii="方正仿宋_GBK" w:hAnsi="方正仿宋_GBK" w:eastAsia="方正仿宋_GBK" w:cs="方正仿宋_GBK"/>
          <w:sz w:val="32"/>
          <w:szCs w:val="32"/>
        </w:rPr>
        <w:t>利局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紧紧围绕水资源高效利用与生态环境保护目标，</w:t>
      </w:r>
      <w:r>
        <w:rPr>
          <w:rFonts w:ascii="方正仿宋_GBK" w:hAnsi="方正仿宋_GBK" w:eastAsia="方正仿宋_GBK" w:cs="方正仿宋_GBK"/>
          <w:sz w:val="32"/>
          <w:szCs w:val="32"/>
        </w:rPr>
        <w:t>科学开展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拦蓄带管理</w:t>
      </w:r>
      <w:r>
        <w:rPr>
          <w:rFonts w:ascii="方正仿宋_GBK" w:hAnsi="方正仿宋_GBK" w:eastAsia="方正仿宋_GBK" w:cs="方正仿宋_GBK"/>
          <w:sz w:val="32"/>
          <w:szCs w:val="32"/>
        </w:rPr>
        <w:t>运行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实现</w:t>
      </w:r>
      <w:r>
        <w:rPr>
          <w:rFonts w:ascii="方正仿宋_GBK" w:hAnsi="方正仿宋_GBK" w:eastAsia="方正仿宋_GBK" w:cs="方正仿宋_GBK"/>
          <w:sz w:val="32"/>
          <w:szCs w:val="32"/>
        </w:rPr>
        <w:t>流域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水资源的时空调节与优化配置。</w:t>
      </w:r>
    </w:p>
    <w:p w14:paraId="1C5552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eastAsia="zh-CN"/>
        </w:rPr>
      </w:pPr>
      <w:r>
        <w:rPr>
          <w:rFonts w:ascii="方正黑体_GBK" w:hAnsi="方正黑体_GBK" w:eastAsia="方正黑体_GBK" w:cs="方正黑体_GBK"/>
          <w:sz w:val="32"/>
          <w:szCs w:val="32"/>
          <w:highlight w:val="none"/>
        </w:rPr>
        <w:t>一是</w:t>
      </w: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巧借天时腾空间，下好防汛抗旱</w:t>
      </w: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eastAsia="zh-CN"/>
        </w:rPr>
        <w:t>“</w:t>
      </w: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先手棋</w:t>
      </w: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eastAsia="zh-CN"/>
        </w:rPr>
        <w:t>”。</w:t>
      </w:r>
    </w:p>
    <w:p w14:paraId="076DAF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持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未雨绸缪、统筹调度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原则，</w:t>
      </w:r>
      <w:r>
        <w:rPr>
          <w:rFonts w:ascii="方正仿宋_GBK" w:hAnsi="方正仿宋_GBK" w:eastAsia="方正仿宋_GBK" w:cs="方正仿宋_GBK"/>
          <w:sz w:val="32"/>
          <w:szCs w:val="32"/>
        </w:rPr>
        <w:t>市水利局不断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健全闸门管控与汛期雨水防控双重机制，压实</w:t>
      </w:r>
      <w:r>
        <w:rPr>
          <w:rFonts w:ascii="方正仿宋_GBK" w:hAnsi="方正仿宋_GBK" w:eastAsia="方正仿宋_GBK" w:cs="方正仿宋_GBK"/>
          <w:sz w:val="32"/>
          <w:szCs w:val="32"/>
        </w:rPr>
        <w:t>闸门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管理责任，细化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拦截存储、抽提回用、应急外排、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湿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地调蓄、净化入湖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五项处置流程。抢抓汛前用水高峰窗口期，完成拦蓄带腾空、清淤及晒塘工作，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秉承应调尽调原则开展拦蓄带预泄调度，将水资源抽提至上游回用，有效缓解大春栽茬用水困难问题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，</w:t>
      </w:r>
      <w:r>
        <w:rPr>
          <w:rFonts w:ascii="方正仿宋_GBK" w:hAnsi="方正仿宋_GBK" w:eastAsia="方正仿宋_GBK" w:cs="方正仿宋_GBK"/>
          <w:color w:val="auto"/>
          <w:sz w:val="32"/>
          <w:szCs w:val="32"/>
          <w:lang w:eastAsia="zh-CN"/>
        </w:rPr>
        <w:t>同时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smallCaps w:val="0"/>
          <w:color w:val="auto"/>
          <w:spacing w:val="0"/>
          <w:kern w:val="2"/>
          <w:sz w:val="32"/>
          <w:szCs w:val="32"/>
          <w:shd w:val="clear" w:color="auto" w:fill="auto"/>
          <w:lang w:val="en-US" w:eastAsia="zh-CN"/>
        </w:rPr>
        <w:t>为汛期蓄洪</w:t>
      </w:r>
      <w:r>
        <w:rPr>
          <w:rFonts w:ascii="方正仿宋_GBK" w:hAnsi="方正仿宋_GBK" w:eastAsia="方正仿宋_GBK" w:cs="方正仿宋_GBK"/>
          <w:i w:val="0"/>
          <w:iCs w:val="0"/>
          <w:caps w:val="0"/>
          <w:smallCaps w:val="0"/>
          <w:color w:val="auto"/>
          <w:spacing w:val="0"/>
          <w:kern w:val="2"/>
          <w:sz w:val="32"/>
          <w:szCs w:val="32"/>
          <w:shd w:val="clear" w:color="auto" w:fill="auto"/>
          <w:lang w:val="en-US" w:eastAsia="zh-CN"/>
        </w:rPr>
        <w:t>扩展</w:t>
      </w:r>
      <w:r>
        <w:rPr>
          <w:rFonts w:ascii="Times New Roman" w:hAnsi="Times New Roman" w:eastAsia="方正仿宋_GBK" w:cs="Times New Roman"/>
          <w:i w:val="0"/>
          <w:iCs w:val="0"/>
          <w:caps w:val="0"/>
          <w:smallCaps w:val="0"/>
          <w:color w:val="auto"/>
          <w:spacing w:val="0"/>
          <w:kern w:val="2"/>
          <w:sz w:val="32"/>
          <w:szCs w:val="32"/>
          <w:shd w:val="clear" w:color="auto" w:fill="auto"/>
          <w:lang w:val="en-US" w:eastAsia="zh-CN"/>
        </w:rPr>
        <w:t>66.12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smallCaps w:val="0"/>
          <w:color w:val="auto"/>
          <w:spacing w:val="0"/>
          <w:kern w:val="2"/>
          <w:sz w:val="32"/>
          <w:szCs w:val="32"/>
          <w:shd w:val="clear" w:color="auto" w:fill="auto"/>
          <w:lang w:val="en-US" w:eastAsia="zh-CN"/>
        </w:rPr>
        <w:t>万立方米</w:t>
      </w:r>
      <w:r>
        <w:rPr>
          <w:rFonts w:ascii="方正仿宋_GBK" w:hAnsi="方正仿宋_GBK" w:eastAsia="方正仿宋_GBK" w:cs="方正仿宋_GBK"/>
          <w:i w:val="0"/>
          <w:iCs w:val="0"/>
          <w:caps w:val="0"/>
          <w:smallCaps w:val="0"/>
          <w:color w:val="auto"/>
          <w:spacing w:val="0"/>
          <w:kern w:val="2"/>
          <w:sz w:val="32"/>
          <w:szCs w:val="32"/>
          <w:shd w:val="clear" w:color="auto" w:fill="auto"/>
          <w:lang w:val="en-US" w:eastAsia="zh-CN"/>
        </w:rPr>
        <w:t>调节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smallCaps w:val="0"/>
          <w:color w:val="auto"/>
          <w:spacing w:val="0"/>
          <w:kern w:val="2"/>
          <w:sz w:val="32"/>
          <w:szCs w:val="32"/>
          <w:shd w:val="clear" w:color="auto" w:fill="auto"/>
          <w:lang w:val="en-US" w:eastAsia="zh-CN"/>
        </w:rPr>
        <w:t>库容。</w:t>
      </w:r>
      <w:r>
        <w:rPr>
          <w:rFonts w:ascii="方正仿宋_GBK" w:hAnsi="方正仿宋_GBK" w:eastAsia="方正仿宋_GBK" w:cs="方正仿宋_GBK"/>
          <w:sz w:val="32"/>
          <w:szCs w:val="32"/>
        </w:rPr>
        <w:t>汛期时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依托</w:t>
      </w:r>
      <w:r>
        <w:rPr>
          <w:rFonts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座泵站统筹调度，</w:t>
      </w:r>
      <w:r>
        <w:rPr>
          <w:rFonts w:ascii="方正仿宋_GBK" w:hAnsi="方正仿宋_GBK" w:eastAsia="方正仿宋_GBK" w:cs="方正仿宋_GBK"/>
          <w:sz w:val="32"/>
          <w:szCs w:val="32"/>
        </w:rPr>
        <w:t>将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  <w:t>96.89</w:t>
      </w:r>
      <w:r>
        <w:rPr>
          <w:rFonts w:ascii="方正仿宋_GBK" w:hAnsi="方正仿宋_GBK" w:eastAsia="方正仿宋_GBK" w:cs="方正仿宋_GBK"/>
          <w:sz w:val="32"/>
          <w:szCs w:val="32"/>
        </w:rPr>
        <w:t>万方雨水拦截、调度至上游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水库</w:t>
      </w:r>
      <w:r>
        <w:rPr>
          <w:rFonts w:ascii="方正仿宋_GBK" w:hAnsi="方正仿宋_GBK" w:eastAsia="方正仿宋_GBK" w:cs="方正仿宋_GBK"/>
          <w:sz w:val="32"/>
          <w:szCs w:val="32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坝塘</w:t>
      </w:r>
      <w:r>
        <w:rPr>
          <w:rFonts w:ascii="方正仿宋_GBK" w:hAnsi="方正仿宋_GBK" w:eastAsia="方正仿宋_GBK" w:cs="方正仿宋_GBK"/>
          <w:sz w:val="32"/>
          <w:szCs w:val="32"/>
        </w:rPr>
        <w:t>存储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ascii="方正仿宋_GBK" w:hAnsi="方正仿宋_GBK" w:eastAsia="方正仿宋_GBK" w:cs="方正仿宋_GBK"/>
          <w:sz w:val="32"/>
          <w:szCs w:val="32"/>
        </w:rPr>
        <w:t>通过时间上的合理调度，将今年的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ascii="方正仿宋_GBK" w:hAnsi="方正仿宋_GBK" w:eastAsia="方正仿宋_GBK" w:cs="方正仿宋_GBK"/>
          <w:sz w:val="32"/>
          <w:szCs w:val="32"/>
        </w:rPr>
        <w:t>汛期险情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</w:t>
      </w:r>
      <w:r>
        <w:rPr>
          <w:rFonts w:ascii="方正仿宋_GBK" w:hAnsi="方正仿宋_GBK" w:eastAsia="方正仿宋_GBK" w:cs="方正仿宋_GBK"/>
          <w:sz w:val="32"/>
          <w:szCs w:val="32"/>
        </w:rPr>
        <w:t>变成来年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ascii="方正仿宋_GBK" w:hAnsi="方正仿宋_GBK" w:eastAsia="方正仿宋_GBK" w:cs="方正仿宋_GBK"/>
          <w:sz w:val="32"/>
          <w:szCs w:val="32"/>
        </w:rPr>
        <w:t>抗旱良方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</w:t>
      </w:r>
      <w:r>
        <w:rPr>
          <w:rFonts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实现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汛期蓄水、旱季用水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有效破解水资源时空分布不均难题。</w:t>
      </w:r>
    </w:p>
    <w:p w14:paraId="79BFCF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40" w:hanging="640" w:hangingChars="200"/>
        <w:jc w:val="left"/>
        <w:textAlignment w:val="auto"/>
        <w:rPr>
          <w:rFonts w:ascii="方正黑体_GBK" w:hAnsi="方正黑体_GBK" w:eastAsia="方正黑体_GBK" w:cs="方正黑体_GBK"/>
          <w:sz w:val="32"/>
          <w:szCs w:val="32"/>
          <w:highlight w:val="none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467350" cy="2439035"/>
            <wp:effectExtent l="0" t="0" r="0" b="18415"/>
            <wp:docPr id="4" name="图片 4" descr="ad6936d4e8f3671d472cc90688521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6936d4e8f3671d472cc9068852172d"/>
                    <pic:cNvPicPr>
                      <a:picLocks noChangeAspect="1"/>
                    </pic:cNvPicPr>
                  </pic:nvPicPr>
                  <pic:blipFill>
                    <a:blip r:embed="rId5"/>
                    <a:srcRect l="9079" t="9502" r="328" b="2642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黑体_GBK" w:hAnsi="方正黑体_GBK" w:eastAsia="方正黑体_GBK" w:cs="方正黑体_GBK"/>
          <w:sz w:val="32"/>
          <w:szCs w:val="32"/>
          <w:highlight w:val="none"/>
        </w:rPr>
        <w:t>二是</w:t>
      </w:r>
      <w:r>
        <w:rPr>
          <w:rFonts w:ascii="方正黑体_GBK" w:hAnsi="方正黑体_GBK" w:eastAsia="方正黑体_GBK" w:cs="方正黑体_GBK"/>
          <w:sz w:val="32"/>
          <w:szCs w:val="32"/>
          <w:highlight w:val="none"/>
          <w:lang w:eastAsia="zh-CN"/>
        </w:rPr>
        <w:t>去芜存菁</w:t>
      </w: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eastAsia="zh-CN"/>
        </w:rPr>
        <w:t>提</w:t>
      </w:r>
      <w:r>
        <w:rPr>
          <w:rFonts w:ascii="方正黑体_GBK" w:hAnsi="方正黑体_GBK" w:eastAsia="方正黑体_GBK" w:cs="方正黑体_GBK"/>
          <w:sz w:val="32"/>
          <w:szCs w:val="32"/>
          <w:highlight w:val="none"/>
        </w:rPr>
        <w:t>质量，</w:t>
      </w:r>
      <w:r>
        <w:rPr>
          <w:rFonts w:ascii="方正黑体_GBK" w:hAnsi="方正黑体_GBK" w:eastAsia="方正黑体_GBK" w:cs="方正黑体_GBK"/>
          <w:sz w:val="32"/>
          <w:szCs w:val="32"/>
          <w:highlight w:val="none"/>
          <w:lang w:eastAsia="zh-CN"/>
        </w:rPr>
        <w:t>筑牢</w:t>
      </w:r>
      <w:r>
        <w:rPr>
          <w:rFonts w:ascii="方正黑体_GBK" w:hAnsi="方正黑体_GBK" w:eastAsia="方正黑体_GBK" w:cs="方正黑体_GBK"/>
          <w:sz w:val="32"/>
          <w:szCs w:val="32"/>
          <w:highlight w:val="none"/>
        </w:rPr>
        <w:t>水质管控</w:t>
      </w:r>
      <w:r>
        <w:rPr>
          <w:rFonts w:ascii="方正黑体_GBK" w:hAnsi="方正黑体_GBK" w:eastAsia="方正黑体_GBK" w:cs="方正黑体_GBK"/>
          <w:sz w:val="32"/>
          <w:szCs w:val="32"/>
          <w:highlight w:val="none"/>
          <w:lang w:eastAsia="zh-CN"/>
        </w:rPr>
        <w:t>“防护</w:t>
      </w: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eastAsia="zh-CN"/>
        </w:rPr>
        <w:t>网</w:t>
      </w:r>
      <w:r>
        <w:rPr>
          <w:rFonts w:ascii="方正黑体_GBK" w:hAnsi="方正黑体_GBK" w:eastAsia="方正黑体_GBK" w:cs="方正黑体_GBK"/>
          <w:sz w:val="32"/>
          <w:szCs w:val="32"/>
          <w:highlight w:val="none"/>
          <w:lang w:eastAsia="zh-CN"/>
        </w:rPr>
        <w:t>”</w:t>
      </w: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eastAsia="zh-CN"/>
        </w:rPr>
        <w:t>。</w:t>
      </w:r>
    </w:p>
    <w:p w14:paraId="1586B6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按照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分段拦截、清污分流、分质利用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思路，通过堵口引流、水系归并等措施，强化上游河道沟渠管理。建立分时段水质监测台账，科学调控闸门</w:t>
      </w:r>
      <w:r>
        <w:rPr>
          <w:rFonts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将初期雨水及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不达标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水体引入拦蓄带暂存，优质水体经管道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、清水通道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输送至下游补给入湖</w:t>
      </w:r>
      <w:r>
        <w:rPr>
          <w:rFonts w:ascii="方正仿宋_GBK" w:hAnsi="方正仿宋_GBK" w:eastAsia="方正仿宋_GBK" w:cs="方正仿宋_GBK"/>
          <w:sz w:val="32"/>
          <w:szCs w:val="32"/>
        </w:rPr>
        <w:t>，今年累计调度清洁水体入湖补给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  <w:t>598.45</w:t>
      </w:r>
      <w:r>
        <w:rPr>
          <w:rFonts w:ascii="方正仿宋_GBK" w:hAnsi="方正仿宋_GBK" w:eastAsia="方正仿宋_GBK" w:cs="方正仿宋_GBK"/>
          <w:sz w:val="32"/>
          <w:szCs w:val="32"/>
        </w:rPr>
        <w:t>万方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  <w:r>
        <w:rPr>
          <w:rFonts w:ascii="方正仿宋_GBK" w:hAnsi="方正仿宋_GBK" w:eastAsia="方正仿宋_GBK" w:cs="方正仿宋_GBK"/>
          <w:sz w:val="32"/>
          <w:szCs w:val="32"/>
        </w:rPr>
        <w:t>通过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精细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smallCaps w:val="0"/>
          <w:spacing w:val="0"/>
          <w:kern w:val="2"/>
          <w:sz w:val="32"/>
          <w:szCs w:val="32"/>
          <w:shd w:val="clear" w:color="auto" w:fill="auto"/>
          <w:lang w:val="en-US" w:eastAsia="zh-CN"/>
        </w:rPr>
        <w:t>化的</w:t>
      </w:r>
      <w:r>
        <w:rPr>
          <w:rFonts w:ascii="方正仿宋_GBK" w:hAnsi="方正仿宋_GBK" w:eastAsia="方正仿宋_GBK" w:cs="方正仿宋_GBK"/>
          <w:i w:val="0"/>
          <w:iCs w:val="0"/>
          <w:caps w:val="0"/>
          <w:smallCaps w:val="0"/>
          <w:spacing w:val="0"/>
          <w:kern w:val="2"/>
          <w:sz w:val="32"/>
          <w:szCs w:val="32"/>
          <w:shd w:val="clear" w:color="auto" w:fill="auto"/>
          <w:lang w:val="en-US" w:eastAsia="zh-CN"/>
        </w:rPr>
        <w:t>水质分级与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smallCaps w:val="0"/>
          <w:spacing w:val="0"/>
          <w:kern w:val="2"/>
          <w:sz w:val="32"/>
          <w:szCs w:val="32"/>
          <w:shd w:val="clear" w:color="auto" w:fill="auto"/>
          <w:lang w:val="en-US" w:eastAsia="zh-CN"/>
        </w:rPr>
        <w:t>科学监管</w:t>
      </w:r>
      <w:r>
        <w:rPr>
          <w:rFonts w:ascii="方正仿宋_GBK" w:hAnsi="方正仿宋_GBK" w:eastAsia="方正仿宋_GBK" w:cs="方正仿宋_GBK"/>
          <w:i w:val="0"/>
          <w:iCs w:val="0"/>
          <w:caps w:val="0"/>
          <w:smallCaps w:val="0"/>
          <w:spacing w:val="0"/>
          <w:kern w:val="2"/>
          <w:sz w:val="32"/>
          <w:szCs w:val="32"/>
          <w:shd w:val="clear" w:color="auto" w:fill="auto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缓解拦蓄带存储压力</w:t>
      </w:r>
      <w:r>
        <w:rPr>
          <w:rFonts w:ascii="方正仿宋_GBK" w:hAnsi="方正仿宋_GBK" w:eastAsia="方正仿宋_GBK" w:cs="方正仿宋_GBK"/>
          <w:sz w:val="32"/>
          <w:szCs w:val="32"/>
        </w:rPr>
        <w:t>的同时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，又保障入湖生态流量，实现了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截污不截清、分流不分效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的生态治理目标。</w:t>
      </w:r>
    </w:p>
    <w:p w14:paraId="5CB873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left="640" w:hanging="640" w:hangingChars="200"/>
        <w:rPr>
          <w:rFonts w:hint="eastAsia" w:ascii="方正黑体_GBK" w:hAnsi="方正黑体_GBK" w:eastAsia="方正黑体_GBK" w:cs="方正黑体_GBK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542915" cy="2735580"/>
            <wp:effectExtent l="0" t="0" r="635" b="7620"/>
            <wp:docPr id="5" name="图片 5" descr="71e5549cba6c5a4ffe4b25eaa7716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e5549cba6c5a4ffe4b25eaa7716742"/>
                    <pic:cNvPicPr>
                      <a:picLocks noChangeAspect="1"/>
                    </pic:cNvPicPr>
                  </pic:nvPicPr>
                  <pic:blipFill>
                    <a:blip r:embed="rId6"/>
                    <a:srcRect t="-513" r="-357" b="12148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黑体_GBK" w:hAnsi="方正黑体_GBK" w:eastAsia="方正黑体_GBK" w:cs="方正黑体_GBK"/>
          <w:color w:val="auto"/>
          <w:sz w:val="32"/>
          <w:szCs w:val="32"/>
          <w:highlight w:val="none"/>
        </w:rPr>
        <w:t>三是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highlight w:val="none"/>
        </w:rPr>
        <w:t>固本强基增效能，打造水利工程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highlight w:val="none"/>
          <w:lang w:eastAsia="zh-CN"/>
        </w:rPr>
        <w:t>“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highlight w:val="none"/>
        </w:rPr>
        <w:t>强引擎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highlight w:val="none"/>
          <w:lang w:eastAsia="zh-CN"/>
        </w:rPr>
        <w:t>”。</w:t>
      </w:r>
    </w:p>
    <w:p w14:paraId="0740EC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以工程升级为抓手，推动</w:t>
      </w:r>
      <w:r>
        <w:rPr>
          <w:rFonts w:ascii="方正仿宋_GBK" w:hAnsi="方正仿宋_GBK" w:eastAsia="方正仿宋_GBK" w:cs="方正仿宋_GBK"/>
          <w:sz w:val="32"/>
          <w:szCs w:val="32"/>
        </w:rPr>
        <w:t>拦蓄带运行能力整体增强。湖外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水资源循环利用</w:t>
      </w:r>
      <w:r>
        <w:rPr>
          <w:rFonts w:ascii="Times New Roman" w:hAnsi="Times New Roman" w:eastAsia="方正仿宋_GBK" w:cs="Times New Roman"/>
          <w:sz w:val="32"/>
          <w:szCs w:val="32"/>
        </w:rPr>
        <w:t>5</w:t>
      </w:r>
      <w:r>
        <w:rPr>
          <w:rFonts w:ascii="方正仿宋_GBK" w:hAnsi="方正仿宋_GBK" w:eastAsia="方正仿宋_GBK" w:cs="方正仿宋_GBK"/>
          <w:sz w:val="32"/>
          <w:szCs w:val="32"/>
        </w:rPr>
        <w:t>条线路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闭环运行</w:t>
      </w:r>
      <w:r>
        <w:rPr>
          <w:rFonts w:ascii="方正仿宋_GBK" w:hAnsi="方正仿宋_GBK" w:eastAsia="方正仿宋_GBK" w:cs="方正仿宋_GBK"/>
          <w:sz w:val="32"/>
          <w:szCs w:val="32"/>
        </w:rPr>
        <w:t>，拦蓄带联通改造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道闸门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完成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安装</w:t>
      </w:r>
      <w:r>
        <w:rPr>
          <w:rFonts w:ascii="方正仿宋_GBK" w:hAnsi="方正仿宋_GBK" w:eastAsia="方正仿宋_GBK" w:cs="方正仿宋_GBK"/>
          <w:sz w:val="32"/>
          <w:szCs w:val="32"/>
        </w:rPr>
        <w:t>，</w:t>
      </w:r>
      <w:r>
        <w:rPr>
          <w:rFonts w:ascii="Times New Roman" w:hAnsi="Times New Roman" w:eastAsia="方正仿宋_GBK" w:cs="Times New Roman"/>
          <w:sz w:val="32"/>
          <w:szCs w:val="32"/>
        </w:rPr>
        <w:t>11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条沟渠清污分流工程</w:t>
      </w:r>
      <w:r>
        <w:rPr>
          <w:rFonts w:ascii="方正仿宋_GBK" w:hAnsi="方正仿宋_GBK" w:eastAsia="方正仿宋_GBK" w:cs="方正仿宋_GBK"/>
          <w:sz w:val="32"/>
          <w:szCs w:val="32"/>
        </w:rPr>
        <w:t>有序推进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号泵站管线联通与关口坝塘联通工程</w:t>
      </w:r>
      <w:r>
        <w:rPr>
          <w:rFonts w:ascii="方正仿宋_GBK" w:hAnsi="方正仿宋_GBK" w:eastAsia="方正仿宋_GBK" w:cs="方正仿宋_GBK"/>
          <w:sz w:val="32"/>
          <w:szCs w:val="32"/>
        </w:rPr>
        <w:t>提上日程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。通过系列工程措施</w:t>
      </w:r>
      <w:r>
        <w:rPr>
          <w:rFonts w:ascii="方正仿宋_GBK" w:hAnsi="方正仿宋_GBK" w:eastAsia="方正仿宋_GBK" w:cs="方正仿宋_GBK"/>
          <w:sz w:val="32"/>
          <w:szCs w:val="32"/>
        </w:rPr>
        <w:t>的不断完善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有效破解拦蓄带存储空间和泵站抽提能力不足问题，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形成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调蓄有度、调度有力、利用高效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的主动管控格局，为区域水安全提供坚实保障。</w:t>
      </w:r>
    </w:p>
    <w:p w14:paraId="3FF55325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left="0" w:firstLine="0"/>
        <w:textAlignment w:val="auto"/>
        <w:rPr>
          <w:rFonts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</w:t>
      </w:r>
    </w:p>
    <w:p w14:paraId="0EC9DE0F">
      <w:pPr>
        <w:keepNext w:val="0"/>
        <w:keepLines w:val="0"/>
        <w:pageBreakBefore w:val="0"/>
        <w:widowControl w:val="0"/>
        <w:tabs>
          <w:tab w:val="left" w:pos="6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/>
        <w:jc w:val="both"/>
        <w:textAlignment w:val="auto"/>
        <w:outlineLvl w:val="9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3FA5714"/>
    <w:rsid w:val="1CF5105F"/>
    <w:rsid w:val="2BBB02AC"/>
    <w:rsid w:val="307A3A47"/>
    <w:rsid w:val="4E050D81"/>
    <w:rsid w:val="5CCA78BF"/>
    <w:rsid w:val="6E53278F"/>
    <w:rsid w:val="790D0E29"/>
    <w:rsid w:val="FEBDF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qFormat/>
    <w:uiPriority w:val="0"/>
    <w:pPr>
      <w:keepNext/>
      <w:keepLines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4">
    <w:name w:val="heading 3"/>
    <w:basedOn w:val="1"/>
    <w:next w:val="1"/>
    <w:link w:val="14"/>
    <w:qFormat/>
    <w:uiPriority w:val="0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1"/>
    <w:qFormat/>
    <w:uiPriority w:val="0"/>
    <w:pPr>
      <w:snapToGrid w:val="0"/>
      <w:spacing w:line="300" w:lineRule="auto"/>
      <w:ind w:firstLine="556"/>
    </w:pPr>
    <w:rPr>
      <w:rFonts w:ascii="仿宋_GB2312" w:hAnsi="Times New Roman" w:eastAsia="仿宋_GB2312" w:cs="Times New Roman"/>
      <w:kern w:val="0"/>
      <w:szCs w:val="2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customStyle="1" w:styleId="12">
    <w:name w:val="heading 1 Char"/>
    <w:basedOn w:val="9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  <w:lang w:val="en-US" w:eastAsia="zh-CN" w:bidi="ar-SA"/>
    </w:rPr>
  </w:style>
  <w:style w:type="character" w:customStyle="1" w:styleId="13">
    <w:name w:val="heading 2 Char"/>
    <w:basedOn w:val="9"/>
    <w:link w:val="3"/>
    <w:qFormat/>
    <w:uiPriority w:val="0"/>
    <w:rPr>
      <w:rFonts w:ascii="Times New Roman" w:hAnsi="Times New Roman" w:eastAsia="黑体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14">
    <w:name w:val="heading 3 Char"/>
    <w:basedOn w:val="9"/>
    <w:link w:val="4"/>
    <w:qFormat/>
    <w:uiPriority w:val="0"/>
    <w:rPr>
      <w:rFonts w:ascii="宋体" w:hAnsi="宋体" w:eastAsia="宋体" w:cs="宋体"/>
      <w:b/>
      <w:bCs/>
      <w:kern w:val="0"/>
      <w:sz w:val="27"/>
      <w:szCs w:val="27"/>
      <w:lang w:val="en-US" w:eastAsia="zh-CN" w:bidi="ar-SA"/>
    </w:rPr>
  </w:style>
  <w:style w:type="paragraph" w:customStyle="1" w:styleId="15">
    <w:name w:val="Normal Indent1"/>
    <w:basedOn w:val="1"/>
    <w:qFormat/>
    <w:uiPriority w:val="0"/>
    <w:pPr>
      <w:snapToGrid w:val="0"/>
      <w:spacing w:line="300" w:lineRule="auto"/>
      <w:ind w:firstLine="556"/>
    </w:pPr>
    <w:rPr>
      <w:rFonts w:ascii="仿宋_GB2312" w:hAnsi="Times New Roman" w:eastAsia="仿宋_GB2312" w:cs="Times New Roman"/>
      <w:szCs w:val="20"/>
    </w:rPr>
  </w:style>
  <w:style w:type="character" w:customStyle="1" w:styleId="16">
    <w:name w:val="NormalCharacter"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主题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ap="flat" cmpd="sng">
          <a:solidFill>
            <a:schemeClr val="phClr"/>
          </a:solidFill>
          <a:prstDash val="solid"/>
          <a:miter/>
        </a:ln>
        <a:ln w="12700" cap="flat" cmpd="sng">
          <a:solidFill>
            <a:schemeClr val="phClr"/>
          </a:solidFill>
          <a:prstDash val="solid"/>
          <a:miter/>
        </a:ln>
        <a:ln w="19050" cap="flat" cmpd="sng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 xmlns="http://www.yozosoft.com.cn/officeDocument/2016/customData">
    <docPr xmlns="http://www.yozosoft.com.cn/officeDocument/2016/customData" revisions="3 0 5 0 0 0 1 0 0 0 26650 1 1 1 1 1"/>
    <sectPr xmlns="http://www.yozosoft.com.cn/officeDocument/2016/customData"/>
  </customProps>
</customData>
</file>

<file path=customXml/itemProps1.xml><?xml version="1.0" encoding="utf-8"?>
<ds:datastoreItem xmlns:ds="http://schemas.openxmlformats.org/officeDocument/2006/customXml" ds:itemID="{38F59B8D-CAC3-478A-B373-9FC36ED712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玉溪市澄江县党政机关单位</Company>
  <Pages>3</Pages>
  <Words>826</Words>
  <Characters>882</Characters>
  <Lines>0</Lines>
  <Paragraphs>65</Paragraphs>
  <TotalTime>4</TotalTime>
  <ScaleCrop>false</ScaleCrop>
  <LinksUpToDate>false</LinksUpToDate>
  <CharactersWithSpaces>909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2024-10-25T11:20:00Z</dcterms:created>
  <dc:creator>小木木</dc:creator>
  <cp:lastModifiedBy>—Darkmooey</cp:lastModifiedBy>
  <dcterms:modified xsi:type="dcterms:W3CDTF">2025-08-28T08:22:38Z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8ED8EB5CB9214A65B852C4749F25A786_13</vt:lpwstr>
  </property>
  <property fmtid="{D5CDD505-2E9C-101B-9397-08002B2CF9AE}" pid="4" name="KSOTemplateDocerSaveRecord">
    <vt:lpwstr>eyJoZGlkIjoiMTczNzQwM2ZiNTk0NjUwM2RjNDg2NTBkODU0YjU2NTEiLCJ1c2VySWQiOiIxMDg1NTk4NDE4In0=</vt:lpwstr>
  </property>
</Properties>
</file>