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pBdr>
          <w:top w:val="none" w:color="auto" w:sz="0" w:space="0"/>
          <w:bottom w:val="none" w:color="auto" w:sz="0" w:space="0"/>
        </w:pBdr>
        <w:tabs>
          <w:tab w:val="center" w:pos="4422"/>
        </w:tabs>
        <w:kinsoku/>
        <w:wordWrap/>
        <w:overflowPunct w:val="0"/>
        <w:topLinePunct w:val="0"/>
        <w:autoSpaceDE/>
        <w:autoSpaceDN/>
        <w:bidi w:val="0"/>
        <w:adjustRightInd/>
        <w:snapToGrid/>
        <w:spacing w:after="0" w:line="560" w:lineRule="exact"/>
        <w:jc w:val="left"/>
        <w:textAlignment w:val="auto"/>
        <w:rPr>
          <w:rFonts w:hint="eastAsia" w:ascii="黑体" w:hAnsi="黑体" w:eastAsia="黑体" w:cs="黑体"/>
          <w:b w:val="0"/>
          <w:bCs/>
          <w:color w:val="auto"/>
          <w:sz w:val="30"/>
          <w:szCs w:val="30"/>
          <w:lang w:val="en-US" w:eastAsia="zh-CN"/>
        </w:rPr>
      </w:pPr>
      <w:r>
        <w:rPr>
          <w:rFonts w:hint="eastAsia" w:ascii="黑体" w:hAnsi="黑体" w:eastAsia="黑体" w:cs="黑体"/>
          <w:b w:val="0"/>
          <w:bCs/>
          <w:color w:val="auto"/>
          <w:sz w:val="30"/>
          <w:szCs w:val="30"/>
          <w:lang w:val="en-US" w:eastAsia="zh-CN"/>
        </w:rPr>
        <w:t>附件2</w:t>
      </w:r>
    </w:p>
    <w:p>
      <w:pPr>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line="560" w:lineRule="exact"/>
        <w:jc w:val="center"/>
        <w:textAlignment w:val="auto"/>
        <w:outlineLvl w:val="0"/>
        <w:rPr>
          <w:rFonts w:hint="eastAsia" w:ascii="方正小标宋简体" w:hAnsi="方正小标宋简体" w:eastAsia="方正小标宋简体" w:cs="方正小标宋简体"/>
          <w:color w:val="auto"/>
          <w:sz w:val="40"/>
          <w:szCs w:val="40"/>
          <w:lang w:val="en-US" w:eastAsia="zh-CN"/>
        </w:rPr>
      </w:pPr>
      <w:bookmarkStart w:id="0" w:name="_Toc10899"/>
      <w:bookmarkStart w:id="1" w:name="_Toc24193"/>
      <w:bookmarkStart w:id="2" w:name="_Toc17038"/>
    </w:p>
    <w:p>
      <w:pPr>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line="560" w:lineRule="exact"/>
        <w:jc w:val="center"/>
        <w:textAlignment w:val="auto"/>
        <w:outlineLvl w:val="0"/>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全国会计人员统一服务管理平台</w:t>
      </w:r>
    </w:p>
    <w:p>
      <w:pPr>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before="-2147483648" w:beforeLines="-2147483648" w:after="-2147483648" w:afterLines="-2147483648" w:line="560" w:lineRule="exact"/>
        <w:ind w:left="0" w:leftChars="0" w:right="0" w:rightChars="0" w:firstLine="0" w:firstLineChars="0"/>
        <w:jc w:val="center"/>
        <w:textAlignment w:val="auto"/>
        <w:outlineLvl w:val="0"/>
        <w:rPr>
          <w:rFonts w:hint="eastAsia" w:ascii="方正小标宋简体" w:hAnsi="方正小标宋简体" w:eastAsia="方正小标宋简体" w:cs="方正小标宋简体"/>
          <w:color w:val="auto"/>
          <w:kern w:val="2"/>
          <w:sz w:val="40"/>
          <w:szCs w:val="40"/>
          <w:lang w:val="en-US" w:eastAsia="zh-CN" w:bidi="ar-SA"/>
        </w:rPr>
      </w:pPr>
      <w:r>
        <w:rPr>
          <w:rFonts w:hint="eastAsia" w:ascii="方正小标宋简体" w:hAnsi="方正小标宋简体" w:eastAsia="方正小标宋简体" w:cs="方正小标宋简体"/>
          <w:color w:val="auto"/>
          <w:sz w:val="40"/>
          <w:szCs w:val="40"/>
          <w:lang w:val="en-US" w:eastAsia="zh-CN"/>
        </w:rPr>
        <w:t>信息采集</w:t>
      </w:r>
      <w:bookmarkEnd w:id="0"/>
      <w:bookmarkEnd w:id="1"/>
      <w:bookmarkEnd w:id="2"/>
      <w:bookmarkStart w:id="3" w:name="_Toc22927"/>
      <w:bookmarkStart w:id="4" w:name="_Toc29865"/>
      <w:bookmarkStart w:id="5" w:name="_Toc2012"/>
      <w:r>
        <w:rPr>
          <w:rFonts w:hint="eastAsia" w:ascii="方正小标宋简体" w:hAnsi="方正小标宋简体" w:eastAsia="方正小标宋简体" w:cs="方正小标宋简体"/>
          <w:color w:val="auto"/>
          <w:sz w:val="40"/>
          <w:szCs w:val="40"/>
          <w:lang w:val="en-US" w:eastAsia="zh-CN"/>
        </w:rPr>
        <w:t>填报指南</w:t>
      </w:r>
      <w:bookmarkEnd w:id="3"/>
      <w:bookmarkEnd w:id="4"/>
      <w:bookmarkEnd w:id="5"/>
    </w:p>
    <w:sdt>
      <w:sdtPr>
        <w:rPr>
          <w:rFonts w:hint="eastAsia" w:ascii="方正小标宋简体" w:hAnsi="方正小标宋简体" w:eastAsia="方正小标宋简体" w:cs="方正小标宋简体"/>
          <w:color w:val="auto"/>
          <w:kern w:val="2"/>
          <w:sz w:val="36"/>
          <w:szCs w:val="36"/>
          <w:lang w:val="en-US" w:eastAsia="zh-CN" w:bidi="ar-SA"/>
        </w:rPr>
        <w:id w:val="147463764"/>
        <w:docPartObj>
          <w:docPartGallery w:val="Table of Contents"/>
          <w:docPartUnique/>
        </w:docPartObj>
      </w:sdtPr>
      <w:sdtEndPr>
        <w:rPr>
          <w:rFonts w:hint="eastAsia" w:ascii="黑体" w:hAnsi="黑体" w:eastAsia="黑体" w:cs="黑体"/>
          <w:color w:val="auto"/>
          <w:kern w:val="2"/>
          <w:sz w:val="30"/>
          <w:szCs w:val="32"/>
          <w:highlight w:val="none"/>
          <w:lang w:val="en-US" w:eastAsia="zh-CN" w:bidi="ar-SA"/>
        </w:rPr>
      </w:sdtEndPr>
      <w:sdtContent>
        <w:p>
          <w:pPr>
            <w:keepNext w:val="0"/>
            <w:keepLines w:val="0"/>
            <w:pageBreakBefore w:val="0"/>
            <w:widowControl w:val="0"/>
            <w:pBdr>
              <w:top w:val="none" w:color="auto" w:sz="0" w:space="0"/>
              <w:bottom w:val="none" w:color="auto" w:sz="0" w:space="0"/>
            </w:pBdr>
            <w:kinsoku/>
            <w:wordWrap/>
            <w:overflowPunct/>
            <w:topLinePunct w:val="0"/>
            <w:autoSpaceDE/>
            <w:autoSpaceDN/>
            <w:bidi w:val="0"/>
            <w:adjustRightInd/>
            <w:snapToGrid/>
            <w:spacing w:after="0" w:line="56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auto"/>
              <w:kern w:val="2"/>
              <w:sz w:val="36"/>
              <w:szCs w:val="36"/>
              <w:lang w:val="en-US" w:eastAsia="zh-CN" w:bidi="ar-SA"/>
            </w:rPr>
          </w:pPr>
        </w:p>
        <w:p>
          <w:pPr>
            <w:keepNext w:val="0"/>
            <w:keepLines w:val="0"/>
            <w:pageBreakBefore w:val="0"/>
            <w:widowControl w:val="0"/>
            <w:pBdr>
              <w:top w:val="none" w:color="auto" w:sz="0" w:space="0"/>
              <w:bottom w:val="none" w:color="auto" w:sz="0" w:space="0"/>
            </w:pBdr>
            <w:kinsoku/>
            <w:wordWrap/>
            <w:overflowPunct/>
            <w:topLinePunct w:val="0"/>
            <w:autoSpaceDE/>
            <w:autoSpaceDN/>
            <w:bidi w:val="0"/>
            <w:adjustRightInd/>
            <w:snapToGrid/>
            <w:spacing w:after="0" w:line="59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目录</w:t>
          </w:r>
        </w:p>
        <w:p>
          <w:pPr>
            <w:pStyle w:val="9"/>
            <w:pBdr>
              <w:top w:val="none" w:color="auto" w:sz="0" w:space="0"/>
              <w:bottom w:val="none" w:color="auto" w:sz="0" w:space="0"/>
            </w:pBdr>
            <w:tabs>
              <w:tab w:val="right" w:leader="dot" w:pos="8845"/>
            </w:tabs>
            <w:rPr>
              <w:color w:val="auto"/>
            </w:rPr>
          </w:pPr>
          <w:r>
            <w:rPr>
              <w:rFonts w:hint="eastAsia" w:ascii="黑体" w:hAnsi="黑体" w:eastAsia="黑体" w:cs="黑体"/>
              <w:color w:val="auto"/>
              <w:sz w:val="32"/>
              <w:szCs w:val="32"/>
              <w:highlight w:val="none"/>
              <w:lang w:val="en-US" w:eastAsia="zh-CN"/>
            </w:rPr>
            <w:fldChar w:fldCharType="begin"/>
          </w:r>
          <w:r>
            <w:rPr>
              <w:rFonts w:hint="eastAsia" w:ascii="黑体" w:hAnsi="黑体" w:eastAsia="黑体" w:cs="黑体"/>
              <w:color w:val="auto"/>
              <w:sz w:val="32"/>
              <w:szCs w:val="32"/>
              <w:highlight w:val="none"/>
              <w:lang w:val="en-US" w:eastAsia="zh-CN"/>
            </w:rPr>
            <w:instrText xml:space="preserve">TOC \o "1-3" \h \u </w:instrText>
          </w:r>
          <w:r>
            <w:rPr>
              <w:rFonts w:hint="eastAsia" w:ascii="黑体" w:hAnsi="黑体" w:eastAsia="黑体" w:cs="黑体"/>
              <w:color w:val="auto"/>
              <w:sz w:val="32"/>
              <w:szCs w:val="32"/>
              <w:highlight w:val="none"/>
              <w:lang w:val="en-US" w:eastAsia="zh-CN"/>
            </w:rPr>
            <w:fldChar w:fldCharType="separate"/>
          </w:r>
        </w:p>
        <w:p>
          <w:pPr>
            <w:pStyle w:val="9"/>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"_Toc5045" </w:instrText>
          </w:r>
          <w:r>
            <w:fldChar w:fldCharType="separate"/>
          </w:r>
          <w:r>
            <w:rPr>
              <w:rFonts w:hint="eastAsia" w:ascii="仿宋_GB2312" w:hAnsi="仿宋_GB2312" w:eastAsia="黑体" w:cs="黑体"/>
              <w:color w:val="auto"/>
              <w:szCs w:val="32"/>
              <w:highlight w:val="none"/>
              <w:lang w:val="en-US" w:eastAsia="zh-CN"/>
            </w:rPr>
            <w:t>一、信息采集准备材料</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_Toc5045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6</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"_Toc7119" </w:instrText>
          </w:r>
          <w:r>
            <w:fldChar w:fldCharType="separate"/>
          </w:r>
          <w:r>
            <w:rPr>
              <w:rFonts w:hint="eastAsia" w:ascii="仿宋_GB2312" w:hAnsi="仿宋_GB2312" w:eastAsia="楷体_GB2312" w:cs="楷体_GB2312"/>
              <w:color w:val="auto"/>
              <w:szCs w:val="32"/>
              <w:lang w:val="en-US" w:eastAsia="zh-CN"/>
            </w:rPr>
            <w:t>（一）身份证照片</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_Toc7119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6</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"_Toc957" </w:instrText>
          </w:r>
          <w:r>
            <w:fldChar w:fldCharType="separate"/>
          </w:r>
          <w:r>
            <w:rPr>
              <w:rFonts w:hint="eastAsia" w:ascii="仿宋_GB2312" w:hAnsi="仿宋_GB2312" w:eastAsia="楷体_GB2312" w:cs="楷体_GB2312"/>
              <w:color w:val="auto"/>
              <w:szCs w:val="32"/>
              <w:lang w:val="en-US" w:eastAsia="zh-CN"/>
            </w:rPr>
            <w:t>（二）标准证件照片</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_Toc957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6</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"_Toc435" </w:instrText>
          </w:r>
          <w:r>
            <w:fldChar w:fldCharType="separate"/>
          </w:r>
          <w:r>
            <w:rPr>
              <w:rFonts w:hint="eastAsia" w:ascii="仿宋_GB2312" w:hAnsi="仿宋_GB2312" w:eastAsia="楷体_GB2312" w:cs="楷体_GB2312"/>
              <w:color w:val="auto"/>
              <w:szCs w:val="32"/>
              <w:lang w:val="en-US" w:eastAsia="zh-CN"/>
            </w:rPr>
            <w:t>（三）会计工作经历证明材料</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_Toc435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6</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"_Toc834" </w:instrText>
          </w:r>
          <w:r>
            <w:fldChar w:fldCharType="separate"/>
          </w:r>
          <w:r>
            <w:rPr>
              <w:rFonts w:hint="eastAsia" w:ascii="仿宋_GB2312" w:hAnsi="仿宋_GB2312" w:eastAsia="楷体_GB2312" w:cs="楷体_GB2312"/>
              <w:color w:val="auto"/>
              <w:szCs w:val="32"/>
              <w:lang w:val="en-US" w:eastAsia="zh-CN"/>
            </w:rPr>
            <w:t>（四）教育经历证明材料</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_Toc834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6</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"_Toc30257" </w:instrText>
          </w:r>
          <w:r>
            <w:fldChar w:fldCharType="separate"/>
          </w:r>
          <w:r>
            <w:rPr>
              <w:rFonts w:hint="eastAsia" w:ascii="仿宋_GB2312" w:hAnsi="仿宋_GB2312" w:eastAsia="楷体_GB2312" w:cs="楷体_GB2312"/>
              <w:color w:val="auto"/>
              <w:szCs w:val="32"/>
              <w:lang w:val="en-US" w:eastAsia="zh-CN"/>
            </w:rPr>
            <w:t>（五）专业技术资格证明材料</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_Toc30257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7</w:t>
          </w:r>
          <w:r>
            <w:rPr>
              <w:rFonts w:ascii="仿宋_GB2312" w:hAnsi="仿宋_GB2312"/>
              <w:color w:val="auto"/>
            </w:rPr>
            <w:fldChar w:fldCharType="end"/>
          </w:r>
          <w:r>
            <w:rPr>
              <w:rFonts w:ascii="仿宋_GB2312" w:hAnsi="仿宋_GB2312"/>
              <w:color w:val="auto"/>
            </w:rPr>
            <w:fldChar w:fldCharType="end"/>
          </w:r>
        </w:p>
        <w:p>
          <w:pPr>
            <w:pStyle w:val="9"/>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"_Toc14532" </w:instrText>
          </w:r>
          <w:r>
            <w:fldChar w:fldCharType="separate"/>
          </w:r>
          <w:r>
            <w:rPr>
              <w:rFonts w:hint="eastAsia" w:ascii="仿宋_GB2312" w:hAnsi="仿宋_GB2312" w:eastAsia="黑体" w:cs="黑体"/>
              <w:color w:val="auto"/>
              <w:szCs w:val="32"/>
              <w:highlight w:val="none"/>
              <w:lang w:val="en-US" w:eastAsia="zh-CN"/>
            </w:rPr>
            <w:t>二、信息采集人员范围</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_Toc14532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7</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"_Toc22619" </w:instrText>
          </w:r>
          <w:r>
            <w:fldChar w:fldCharType="separate"/>
          </w:r>
          <w:r>
            <w:rPr>
              <w:rFonts w:hint="eastAsia" w:ascii="仿宋_GB2312" w:hAnsi="仿宋_GB2312" w:eastAsia="楷体_GB2312" w:cs="楷体_GB2312"/>
              <w:color w:val="auto"/>
              <w:szCs w:val="32"/>
              <w:lang w:val="en-US" w:eastAsia="zh-CN"/>
            </w:rPr>
            <w:t>（一）会计人员（从事相关会计工作）</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_Toc22619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7</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"_Toc22355" </w:instrText>
          </w:r>
          <w:r>
            <w:fldChar w:fldCharType="separate"/>
          </w:r>
          <w:r>
            <w:rPr>
              <w:rFonts w:hint="eastAsia" w:ascii="仿宋_GB2312" w:hAnsi="仿宋_GB2312" w:eastAsia="楷体_GB2312" w:cs="楷体_GB2312"/>
              <w:color w:val="auto"/>
              <w:szCs w:val="32"/>
              <w:lang w:val="en-US" w:eastAsia="zh-CN"/>
            </w:rPr>
            <w:t>（二）不从事会计工作但具有会计专业技术资格的人员</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_Toc22355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"_Toc17958" </w:instrText>
          </w:r>
          <w:r>
            <w:fldChar w:fldCharType="separate"/>
          </w:r>
          <w:r>
            <w:rPr>
              <w:rFonts w:hint="eastAsia" w:ascii="仿宋_GB2312" w:hAnsi="仿宋_GB2312" w:eastAsia="楷体_GB2312" w:cs="楷体_GB2312"/>
              <w:color w:val="auto"/>
              <w:szCs w:val="32"/>
              <w:lang w:val="en-US" w:eastAsia="zh-CN"/>
            </w:rPr>
            <w:t>（三）暂未工作但拟报名初级会计资格考试的人员</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_Toc17958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ind w:left="900" w:hanging="900" w:hangingChars="300"/>
            <w:rPr>
              <w:rFonts w:ascii="仿宋_GB2312" w:hAnsi="仿宋_GB2312"/>
              <w:color w:val="auto"/>
            </w:rPr>
          </w:pPr>
          <w:r>
            <w:fldChar w:fldCharType="begin"/>
          </w:r>
          <w:r>
            <w:instrText xml:space="preserve"> HYPERLINK \l "_Toc26540" </w:instrText>
          </w:r>
          <w:r>
            <w:fldChar w:fldCharType="separate"/>
          </w:r>
          <w:r>
            <w:rPr>
              <w:rFonts w:hint="eastAsia" w:ascii="仿宋_GB2312" w:hAnsi="仿宋_GB2312" w:eastAsia="楷体_GB2312" w:cs="楷体_GB2312"/>
              <w:color w:val="auto"/>
              <w:szCs w:val="32"/>
              <w:lang w:val="en-US" w:eastAsia="zh-CN"/>
            </w:rPr>
            <w:t>（四）</w:t>
          </w:r>
          <w:r>
            <w:rPr>
              <w:rFonts w:hint="eastAsia" w:ascii="仿宋_GB2312" w:hAnsi="仿宋_GB2312" w:eastAsia="楷体_GB2312" w:cs="楷体_GB2312"/>
              <w:color w:val="auto"/>
              <w:spacing w:val="-11"/>
              <w:szCs w:val="32"/>
              <w:lang w:val="en-US" w:eastAsia="zh-CN"/>
            </w:rPr>
            <w:t>暂未工作但具有博士学位拟报名中级会计资格考试的人员</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_Toc26540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ind w:left="900" w:hanging="900" w:hangingChars="300"/>
            <w:rPr>
              <w:rFonts w:ascii="仿宋_GB2312" w:hAnsi="仿宋_GB2312"/>
              <w:color w:val="auto"/>
            </w:rPr>
          </w:pPr>
          <w:r>
            <w:fldChar w:fldCharType="begin"/>
          </w:r>
          <w:r>
            <w:instrText xml:space="preserve"> HYPERLINK \l "_Toc25993" </w:instrText>
          </w:r>
          <w:r>
            <w:fldChar w:fldCharType="separate"/>
          </w:r>
          <w:r>
            <w:rPr>
              <w:rFonts w:hint="eastAsia" w:ascii="仿宋_GB2312" w:hAnsi="仿宋_GB2312" w:eastAsia="楷体_GB2312" w:cs="楷体_GB2312"/>
              <w:color w:val="auto"/>
              <w:szCs w:val="32"/>
              <w:lang w:val="en-US" w:eastAsia="zh-CN"/>
            </w:rPr>
            <w:t>（五）不符合上述第一至第四项采集范围，但通过全国考试，取得中级经济、统计、审计专业技术资格，拟报名中级会计专业技术资格考试的人员</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_Toc25993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9"/>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"_Toc32598" </w:instrText>
          </w:r>
          <w:r>
            <w:fldChar w:fldCharType="separate"/>
          </w:r>
          <w:r>
            <w:rPr>
              <w:rFonts w:hint="eastAsia" w:ascii="仿宋_GB2312" w:hAnsi="仿宋_GB2312" w:eastAsia="黑体" w:cs="黑体"/>
              <w:color w:val="auto"/>
              <w:szCs w:val="32"/>
              <w:lang w:val="en-US" w:eastAsia="zh-CN"/>
            </w:rPr>
            <w:t>三、信息采集流程</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_Toc32598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"_Toc1973" </w:instrText>
          </w:r>
          <w:r>
            <w:fldChar w:fldCharType="separate"/>
          </w:r>
          <w:r>
            <w:rPr>
              <w:rFonts w:hint="eastAsia" w:ascii="仿宋_GB2312" w:hAnsi="仿宋_GB2312" w:eastAsia="楷体_GB2312" w:cs="楷体_GB2312"/>
              <w:color w:val="auto"/>
              <w:szCs w:val="32"/>
              <w:lang w:val="en-US" w:eastAsia="zh-CN"/>
            </w:rPr>
            <w:t>（一）平台注册</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_Toc1973 \h </w:instrText>
          </w:r>
          <w:r>
            <w:rPr>
              <w:rFonts w:ascii="仿宋_GB2312" w:hAnsi="仿宋_GB2312"/>
              <w:color w:val="auto"/>
            </w:rPr>
            <w:fldChar w:fldCharType="separate"/>
          </w:r>
          <w:r>
            <w:rPr>
              <w:rFonts w:ascii="仿宋_GB2312" w:hAnsi="仿宋_GB2312"/>
              <w:color w:val="auto"/>
            </w:rPr>
            <w:t>1</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"_Toc32118" </w:instrText>
          </w:r>
          <w:r>
            <w:fldChar w:fldCharType="separate"/>
          </w:r>
          <w:r>
            <w:rPr>
              <w:rFonts w:hint="eastAsia" w:ascii="仿宋_GB2312" w:hAnsi="仿宋_GB2312" w:eastAsia="楷体_GB2312" w:cs="楷体_GB2312"/>
              <w:color w:val="auto"/>
              <w:szCs w:val="32"/>
              <w:lang w:val="en-US" w:eastAsia="zh-CN"/>
            </w:rPr>
            <w:t>（二）平台登录</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_Toc32118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0</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"_Toc32522" </w:instrText>
          </w:r>
          <w:r>
            <w:fldChar w:fldCharType="separate"/>
          </w:r>
          <w:r>
            <w:rPr>
              <w:rFonts w:hint="eastAsia" w:ascii="仿宋_GB2312" w:hAnsi="仿宋_GB2312" w:eastAsia="楷体_GB2312" w:cs="楷体_GB2312"/>
              <w:color w:val="auto"/>
              <w:szCs w:val="32"/>
              <w:lang w:val="en-US" w:eastAsia="zh-CN"/>
            </w:rPr>
            <w:t>（三）实名认证</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_Toc32522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1</w:t>
          </w:r>
          <w:r>
            <w:rPr>
              <w:rFonts w:ascii="仿宋_GB2312" w:hAnsi="仿宋_GB2312"/>
              <w:color w:val="auto"/>
            </w:rPr>
            <w:fldChar w:fldCharType="end"/>
          </w:r>
          <w:r>
            <w:rPr>
              <w:rFonts w:ascii="仿宋_GB2312" w:hAnsi="仿宋_GB2312"/>
              <w:color w:val="auto"/>
            </w:rPr>
            <w:fldChar w:fldCharType="end"/>
          </w:r>
        </w:p>
        <w:p>
          <w:pPr>
            <w:pStyle w:val="10"/>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"_Toc25461" </w:instrText>
          </w:r>
          <w:r>
            <w:fldChar w:fldCharType="separate"/>
          </w:r>
          <w:r>
            <w:rPr>
              <w:rFonts w:hint="eastAsia" w:ascii="仿宋_GB2312" w:hAnsi="仿宋_GB2312" w:eastAsia="楷体_GB2312" w:cs="楷体_GB2312"/>
              <w:color w:val="auto"/>
              <w:szCs w:val="32"/>
              <w:lang w:val="en-US" w:eastAsia="zh-CN"/>
            </w:rPr>
            <w:t>（四）信息填报</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_Toc25461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2</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"_Toc1458" </w:instrText>
          </w:r>
          <w:r>
            <w:fldChar w:fldCharType="separate"/>
          </w:r>
          <w:r>
            <w:rPr>
              <w:rFonts w:hint="eastAsia" w:ascii="仿宋_GB2312" w:hAnsi="仿宋_GB2312" w:eastAsia="仿宋_GB2312" w:cs="仿宋_GB2312"/>
              <w:color w:val="auto"/>
              <w:szCs w:val="32"/>
              <w:lang w:val="en-US" w:eastAsia="zh-CN"/>
            </w:rPr>
            <w:t>1.进入信息采集页面</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_Toc1458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2</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"_Toc20399" </w:instrText>
          </w:r>
          <w:r>
            <w:fldChar w:fldCharType="separate"/>
          </w:r>
          <w:r>
            <w:rPr>
              <w:rFonts w:hint="eastAsia" w:ascii="仿宋_GB2312" w:hAnsi="仿宋_GB2312" w:eastAsia="仿宋_GB2312" w:cs="仿宋_GB2312"/>
              <w:color w:val="auto"/>
              <w:szCs w:val="32"/>
              <w:lang w:val="en-US" w:eastAsia="zh-CN"/>
            </w:rPr>
            <w:t>2.选择会计管理部门</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_Toc20399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2</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"_Toc16903" </w:instrText>
          </w:r>
          <w:r>
            <w:fldChar w:fldCharType="separate"/>
          </w:r>
          <w:r>
            <w:rPr>
              <w:rFonts w:hint="eastAsia" w:ascii="仿宋_GB2312" w:hAnsi="仿宋_GB2312" w:eastAsia="仿宋_GB2312" w:cs="仿宋_GB2312"/>
              <w:color w:val="auto"/>
              <w:szCs w:val="32"/>
              <w:lang w:val="en-US" w:eastAsia="zh-CN"/>
            </w:rPr>
            <w:t>3.选择采集范围</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_Toc16903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4</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"_Toc4805" </w:instrText>
          </w:r>
          <w:r>
            <w:fldChar w:fldCharType="separate"/>
          </w:r>
          <w:r>
            <w:rPr>
              <w:rFonts w:hint="eastAsia" w:ascii="仿宋_GB2312" w:hAnsi="仿宋_GB2312" w:eastAsia="仿宋_GB2312" w:cs="仿宋_GB2312"/>
              <w:color w:val="auto"/>
              <w:szCs w:val="32"/>
              <w:lang w:val="en-US" w:eastAsia="zh-CN"/>
            </w:rPr>
            <w:t>4.填写基本信息</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_Toc4805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5</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"_Toc7979" </w:instrText>
          </w:r>
          <w:r>
            <w:fldChar w:fldCharType="separate"/>
          </w:r>
          <w:r>
            <w:rPr>
              <w:rFonts w:hint="eastAsia" w:ascii="仿宋_GB2312" w:hAnsi="仿宋_GB2312" w:eastAsia="仿宋_GB2312" w:cs="仿宋_GB2312"/>
              <w:color w:val="auto"/>
              <w:szCs w:val="32"/>
              <w:lang w:val="en-US" w:eastAsia="zh-CN"/>
            </w:rPr>
            <w:t>5.填写教育经历</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_Toc7979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6</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"_Toc23621" </w:instrText>
          </w:r>
          <w:r>
            <w:fldChar w:fldCharType="separate"/>
          </w:r>
          <w:r>
            <w:rPr>
              <w:rFonts w:hint="eastAsia" w:ascii="仿宋_GB2312" w:hAnsi="仿宋_GB2312" w:eastAsia="仿宋_GB2312" w:cs="仿宋_GB2312"/>
              <w:color w:val="auto"/>
              <w:szCs w:val="32"/>
              <w:lang w:val="en-US" w:eastAsia="zh-CN"/>
            </w:rPr>
            <w:t>6.填写工作经历</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_Toc23621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7</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ascii="仿宋_GB2312" w:hAnsi="仿宋_GB2312"/>
              <w:color w:val="auto"/>
            </w:rPr>
          </w:pPr>
          <w:r>
            <w:fldChar w:fldCharType="begin"/>
          </w:r>
          <w:r>
            <w:instrText xml:space="preserve"> HYPERLINK \l "_Toc9095" </w:instrText>
          </w:r>
          <w:r>
            <w:fldChar w:fldCharType="separate"/>
          </w:r>
          <w:r>
            <w:rPr>
              <w:rFonts w:hint="eastAsia" w:ascii="仿宋_GB2312" w:hAnsi="仿宋_GB2312" w:eastAsia="仿宋_GB2312" w:cs="仿宋_GB2312"/>
              <w:color w:val="auto"/>
              <w:szCs w:val="32"/>
              <w:lang w:val="en-US" w:eastAsia="zh-CN"/>
            </w:rPr>
            <w:t>7.填写专业技术资格</w:t>
          </w:r>
          <w:r>
            <w:rPr>
              <w:rFonts w:ascii="仿宋_GB2312" w:hAnsi="仿宋_GB2312"/>
              <w:color w:val="auto"/>
            </w:rPr>
            <w:tab/>
          </w:r>
          <w:r>
            <w:rPr>
              <w:rFonts w:ascii="仿宋_GB2312" w:hAnsi="仿宋_GB2312"/>
              <w:color w:val="auto"/>
            </w:rPr>
            <w:fldChar w:fldCharType="begin"/>
          </w:r>
          <w:r>
            <w:rPr>
              <w:rFonts w:ascii="仿宋_GB2312" w:hAnsi="仿宋_GB2312"/>
              <w:color w:val="auto"/>
            </w:rPr>
            <w:instrText xml:space="preserve"> PAGEREF _Toc9095 \h </w:instrText>
          </w:r>
          <w:r>
            <w:rPr>
              <w:rFonts w:ascii="仿宋_GB2312" w:hAnsi="仿宋_GB2312"/>
              <w:color w:val="auto"/>
            </w:rPr>
            <w:fldChar w:fldCharType="separate"/>
          </w:r>
          <w:r>
            <w:rPr>
              <w:rFonts w:ascii="仿宋_GB2312" w:hAnsi="仿宋_GB2312"/>
              <w:color w:val="auto"/>
            </w:rPr>
            <w:t>2</w:t>
          </w:r>
          <w:r>
            <w:rPr>
              <w:rFonts w:hint="eastAsia" w:ascii="仿宋_GB2312" w:hAnsi="仿宋_GB2312"/>
              <w:color w:val="auto"/>
              <w:lang w:val="en-US" w:eastAsia="zh-CN"/>
            </w:rPr>
            <w:t>8</w:t>
          </w:r>
          <w:r>
            <w:rPr>
              <w:rFonts w:ascii="仿宋_GB2312" w:hAnsi="仿宋_GB2312"/>
              <w:color w:val="auto"/>
            </w:rPr>
            <w:fldChar w:fldCharType="end"/>
          </w:r>
          <w:r>
            <w:rPr>
              <w:rFonts w:ascii="仿宋_GB2312" w:hAnsi="仿宋_GB2312"/>
              <w:color w:val="auto"/>
            </w:rPr>
            <w:fldChar w:fldCharType="end"/>
          </w:r>
        </w:p>
        <w:p>
          <w:pPr>
            <w:pStyle w:val="6"/>
            <w:pBdr>
              <w:top w:val="none" w:color="auto" w:sz="0" w:space="0"/>
              <w:bottom w:val="none" w:color="auto" w:sz="0" w:space="0"/>
            </w:pBdr>
            <w:tabs>
              <w:tab w:val="right" w:leader="dot" w:pos="8845"/>
            </w:tabs>
            <w:rPr>
              <w:rFonts w:hint="default"/>
              <w:color w:val="auto"/>
              <w:lang w:val="en-US"/>
            </w:rPr>
          </w:pPr>
          <w:r>
            <w:fldChar w:fldCharType="begin"/>
          </w:r>
          <w:r>
            <w:instrText xml:space="preserve"> HYPERLINK \l "_Toc8641" </w:instrText>
          </w:r>
          <w:r>
            <w:fldChar w:fldCharType="separate"/>
          </w:r>
          <w:r>
            <w:rPr>
              <w:rFonts w:hint="eastAsia" w:ascii="仿宋_GB2312" w:hAnsi="仿宋_GB2312" w:eastAsia="仿宋_GB2312" w:cs="仿宋_GB2312"/>
              <w:color w:val="auto"/>
              <w:szCs w:val="32"/>
              <w:lang w:val="en-US" w:eastAsia="zh-CN"/>
            </w:rPr>
            <w:t>8.采集信息提交</w:t>
          </w:r>
          <w:r>
            <w:rPr>
              <w:rFonts w:ascii="仿宋_GB2312" w:hAnsi="仿宋_GB2312"/>
              <w:color w:val="auto"/>
            </w:rPr>
            <w:tab/>
          </w:r>
          <w:r>
            <w:rPr>
              <w:rFonts w:hint="eastAsia" w:ascii="仿宋_GB2312" w:hAnsi="仿宋_GB2312"/>
              <w:color w:val="auto"/>
              <w:lang w:val="en-US" w:eastAsia="zh-CN"/>
            </w:rPr>
            <w:t>2</w:t>
          </w:r>
          <w:r>
            <w:rPr>
              <w:rFonts w:hint="eastAsia" w:ascii="仿宋_GB2312" w:hAnsi="仿宋_GB2312"/>
              <w:color w:val="auto"/>
              <w:lang w:val="en-US" w:eastAsia="zh-CN"/>
            </w:rPr>
            <w:fldChar w:fldCharType="end"/>
          </w:r>
          <w:r>
            <w:rPr>
              <w:rFonts w:hint="eastAsia" w:ascii="仿宋_GB2312" w:hAnsi="仿宋_GB2312" w:eastAsia="黑体" w:cs="黑体"/>
              <w:color w:val="auto"/>
              <w:szCs w:val="32"/>
              <w:highlight w:val="none"/>
              <w:lang w:val="en-US" w:eastAsia="zh-CN"/>
            </w:rPr>
            <w:t>9</w:t>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420" w:firstLineChars="200"/>
            <w:jc w:val="left"/>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Cs w:val="32"/>
              <w:highlight w:val="none"/>
              <w:lang w:val="en-US" w:eastAsia="zh-CN"/>
            </w:rPr>
            <w:fldChar w:fldCharType="end"/>
          </w:r>
        </w:p>
      </w:sdtContent>
    </w:sdt>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outlineLvl w:val="9"/>
        <w:rPr>
          <w:rFonts w:hint="eastAsia" w:ascii="黑体" w:hAnsi="黑体" w:eastAsia="黑体" w:cs="黑体"/>
          <w:color w:val="auto"/>
          <w:sz w:val="32"/>
          <w:szCs w:val="32"/>
          <w:highlight w:val="none"/>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outlineLvl w:val="9"/>
        <w:rPr>
          <w:rFonts w:hint="eastAsia" w:ascii="黑体" w:hAnsi="黑体" w:eastAsia="黑体" w:cs="黑体"/>
          <w:color w:val="auto"/>
          <w:sz w:val="32"/>
          <w:szCs w:val="32"/>
          <w:highlight w:val="none"/>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outlineLvl w:val="9"/>
        <w:rPr>
          <w:rFonts w:hint="eastAsia" w:ascii="黑体" w:hAnsi="黑体" w:eastAsia="黑体" w:cs="黑体"/>
          <w:color w:val="auto"/>
          <w:sz w:val="32"/>
          <w:szCs w:val="32"/>
          <w:highlight w:val="none"/>
          <w:lang w:val="en-US" w:eastAsia="zh-CN"/>
        </w:rPr>
        <w:sectPr>
          <w:headerReference r:id="rId3" w:type="default"/>
          <w:footerReference r:id="rId4" w:type="default"/>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0"/>
        <w:rPr>
          <w:rFonts w:hint="eastAsia" w:ascii="黑体" w:hAnsi="黑体" w:eastAsia="黑体" w:cs="黑体"/>
          <w:color w:val="auto"/>
          <w:spacing w:val="6"/>
          <w:sz w:val="30"/>
          <w:szCs w:val="30"/>
          <w:highlight w:val="none"/>
          <w:lang w:val="en-US" w:eastAsia="zh-CN"/>
        </w:rPr>
      </w:pPr>
      <w:bookmarkStart w:id="6" w:name="_Toc5045"/>
      <w:r>
        <w:rPr>
          <w:rFonts w:hint="eastAsia" w:ascii="黑体" w:hAnsi="黑体" w:eastAsia="黑体" w:cs="黑体"/>
          <w:color w:val="auto"/>
          <w:spacing w:val="6"/>
          <w:sz w:val="30"/>
          <w:szCs w:val="30"/>
          <w:highlight w:val="none"/>
          <w:lang w:val="en-US" w:eastAsia="zh-CN"/>
        </w:rPr>
        <w:t>一、信息采集准备材料</w:t>
      </w:r>
      <w:bookmarkEnd w:id="6"/>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val="0"/>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7" w:name="_Toc7119"/>
      <w:r>
        <w:rPr>
          <w:rFonts w:hint="eastAsia" w:ascii="楷体_GB2312" w:hAnsi="楷体_GB2312" w:eastAsia="楷体_GB2312" w:cs="楷体_GB2312"/>
          <w:color w:val="auto"/>
          <w:spacing w:val="6"/>
          <w:sz w:val="30"/>
          <w:szCs w:val="30"/>
          <w:lang w:val="en-US" w:eastAsia="zh-CN"/>
        </w:rPr>
        <w:t>（一）身份证照片</w:t>
      </w:r>
      <w:bookmarkEnd w:id="7"/>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本人有效身份证件正反面彩色照片。</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val="0"/>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8" w:name="_Toc957"/>
      <w:r>
        <w:rPr>
          <w:rFonts w:hint="eastAsia" w:ascii="楷体_GB2312" w:hAnsi="楷体_GB2312" w:eastAsia="楷体_GB2312" w:cs="楷体_GB2312"/>
          <w:color w:val="auto"/>
          <w:spacing w:val="6"/>
          <w:sz w:val="30"/>
          <w:szCs w:val="30"/>
          <w:lang w:val="en-US" w:eastAsia="zh-CN"/>
        </w:rPr>
        <w:t>（二）标准证件照片</w:t>
      </w:r>
      <w:bookmarkEnd w:id="8"/>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本人近期清晰、完整的白底标准证件</w:t>
      </w:r>
      <w:r>
        <w:rPr>
          <w:rFonts w:hint="eastAsia" w:ascii="仿宋_GB2312" w:hAnsi="仿宋_GB2312" w:eastAsia="仿宋_GB2312" w:cs="仿宋_GB2312"/>
          <w:color w:val="auto"/>
          <w:spacing w:val="6"/>
          <w:sz w:val="30"/>
          <w:szCs w:val="30"/>
          <w:highlight w:val="none"/>
          <w:lang w:val="en-US" w:eastAsia="zh-CN"/>
        </w:rPr>
        <w:t>照片（jpg格式，不小于10KB，像素≥295*413px），不允许上传模糊、刘海遮眉、非正面、戴眼镜、戴帽子等照片。照片勿过度美颜（如磨皮、瘦脸），如照片质量影响后续报名考试及印制证书的，由本人负责。</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val="0"/>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9" w:name="_Toc435"/>
      <w:r>
        <w:rPr>
          <w:rFonts w:hint="eastAsia" w:ascii="楷体_GB2312" w:hAnsi="楷体_GB2312" w:eastAsia="楷体_GB2312" w:cs="楷体_GB2312"/>
          <w:color w:val="auto"/>
          <w:spacing w:val="6"/>
          <w:sz w:val="30"/>
          <w:szCs w:val="30"/>
          <w:lang w:val="en-US" w:eastAsia="zh-CN"/>
        </w:rPr>
        <w:t>（三）会计工作经历证明材料</w:t>
      </w:r>
      <w:bookmarkEnd w:id="9"/>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会计工作（经历）证明》模版可通过全国会计人员统一服务管理平台（以下简称全国统一平台）或本指南附件下载，本人按规定如实填写并加盖单位公章或人事部门章后拍照上传。全日制学历人员在《会计工作（经历）证明》所填的工作开始时间不得早于或等于毕业证“毕业时间”，非全日制学历的人员不受上述限制。从事会计工作或报考会计中级、高级会计专业技术资格考试的人员必须填写上传。无工作单位人员无需填报。</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val="0"/>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10" w:name="_Toc834"/>
      <w:r>
        <w:rPr>
          <w:rFonts w:hint="eastAsia" w:ascii="楷体_GB2312" w:hAnsi="楷体_GB2312" w:eastAsia="楷体_GB2312" w:cs="楷体_GB2312"/>
          <w:color w:val="auto"/>
          <w:spacing w:val="6"/>
          <w:sz w:val="30"/>
          <w:szCs w:val="30"/>
          <w:lang w:val="en-US" w:eastAsia="zh-CN"/>
        </w:rPr>
        <w:t>（四）教育经历证明材料</w:t>
      </w:r>
      <w:bookmarkEnd w:id="10"/>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信息采集人员教育经历信息由全国统一平台与中国高等教育学生信息网自动比对。比对不通过的个人需上传以下材料：</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0"/>
          <w:sz w:val="30"/>
          <w:szCs w:val="30"/>
          <w:lang w:val="en-US" w:eastAsia="zh-CN"/>
        </w:rPr>
      </w:pPr>
      <w:r>
        <w:rPr>
          <w:rFonts w:hint="eastAsia" w:ascii="仿宋_GB2312" w:hAnsi="仿宋_GB2312" w:eastAsia="仿宋_GB2312" w:cs="仿宋_GB2312"/>
          <w:color w:val="auto"/>
          <w:spacing w:val="6"/>
          <w:sz w:val="30"/>
          <w:szCs w:val="30"/>
          <w:lang w:val="en-US" w:eastAsia="zh-CN"/>
        </w:rPr>
        <w:t>1.国内学历学位：</w:t>
      </w:r>
      <w:r>
        <w:rPr>
          <w:rFonts w:hint="eastAsia" w:ascii="仿宋_GB2312" w:hAnsi="仿宋_GB2312" w:eastAsia="仿宋_GB2312" w:cs="仿宋_GB2312"/>
          <w:color w:val="auto"/>
          <w:spacing w:val="0"/>
          <w:sz w:val="30"/>
          <w:szCs w:val="30"/>
          <w:lang w:val="en-US" w:eastAsia="zh-CN"/>
        </w:rPr>
        <w:t>提供全日制、非全日制学历、学位证书彩色照片,或中国高等教育学生信息网</w:t>
      </w:r>
      <w:r>
        <w:rPr>
          <w:rFonts w:hint="eastAsia" w:ascii="仿宋_GB2312" w:hAnsi="仿宋_GB2312" w:eastAsia="仿宋_GB2312" w:cs="仿宋_GB2312"/>
          <w:color w:val="auto"/>
          <w:spacing w:val="-6"/>
          <w:sz w:val="30"/>
          <w:szCs w:val="30"/>
          <w:lang w:val="en-US" w:eastAsia="zh-CN"/>
        </w:rPr>
        <w:t>（网址：https://www.chsi.com.cn/）</w:t>
      </w:r>
      <w:r>
        <w:rPr>
          <w:rFonts w:hint="eastAsia" w:ascii="仿宋_GB2312" w:hAnsi="仿宋_GB2312" w:eastAsia="仿宋_GB2312" w:cs="仿宋_GB2312"/>
          <w:color w:val="auto"/>
          <w:spacing w:val="0"/>
          <w:sz w:val="30"/>
          <w:szCs w:val="30"/>
          <w:lang w:val="en-US" w:eastAsia="zh-CN"/>
        </w:rPr>
        <w:t>的学历、学位认证报告彩色照片或截图。</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2.国（境）外学历学位：国（境）外本科及以上学历学位需提供《教育部留学服务中心认证书》彩色照片。</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3.拟报名参加初级会计专业技术资格考试的大专在校生，需提供高中（中专、职高和技校）毕业证彩色照片。</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val="0"/>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11" w:name="_Toc30257"/>
      <w:r>
        <w:rPr>
          <w:rFonts w:hint="eastAsia" w:ascii="楷体_GB2312" w:hAnsi="楷体_GB2312" w:eastAsia="楷体_GB2312" w:cs="楷体_GB2312"/>
          <w:color w:val="auto"/>
          <w:spacing w:val="6"/>
          <w:sz w:val="30"/>
          <w:szCs w:val="30"/>
          <w:lang w:val="en-US" w:eastAsia="zh-CN"/>
        </w:rPr>
        <w:t>（五）专业技术资格证明材料</w:t>
      </w:r>
      <w:bookmarkEnd w:id="11"/>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通过全国会计、审计、统计、经济、税务等专业技术资格考试并取得证书的，由全国统一平台自动核验专业技术资格。核验未通过的，需准备专业技术资格证书或XX高级评审委员会评审通过证明文件彩色照片，注册会计师、资产评估师需准备会员证彩色照片。</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bookmarkStart w:id="12" w:name="_Toc7309"/>
      <w:r>
        <w:rPr>
          <w:rFonts w:hint="eastAsia" w:ascii="仿宋_GB2312" w:hAnsi="仿宋_GB2312" w:eastAsia="仿宋_GB2312" w:cs="仿宋_GB2312"/>
          <w:color w:val="auto"/>
          <w:spacing w:val="6"/>
          <w:sz w:val="30"/>
          <w:szCs w:val="30"/>
          <w:lang w:val="en-US" w:eastAsia="zh-CN"/>
        </w:rPr>
        <w:t>上述材料中除“（二）标准证件照片”的文件格式大小需按该条要求准备外，其他彩色照片文件格式应为jpg、png格式，文件大小需大于20KB且不超过500KB。</w:t>
      </w:r>
      <w:bookmarkEnd w:id="12"/>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0"/>
        <w:rPr>
          <w:rFonts w:hint="default" w:ascii="黑体" w:hAnsi="黑体" w:eastAsia="黑体" w:cs="黑体"/>
          <w:color w:val="auto"/>
          <w:spacing w:val="6"/>
          <w:sz w:val="30"/>
          <w:szCs w:val="30"/>
          <w:highlight w:val="none"/>
          <w:lang w:val="en-US" w:eastAsia="zh-CN"/>
        </w:rPr>
      </w:pPr>
      <w:bookmarkStart w:id="13" w:name="_Toc14532"/>
      <w:r>
        <w:rPr>
          <w:rFonts w:hint="eastAsia" w:ascii="黑体" w:hAnsi="黑体" w:eastAsia="黑体" w:cs="黑体"/>
          <w:color w:val="auto"/>
          <w:spacing w:val="6"/>
          <w:sz w:val="30"/>
          <w:szCs w:val="30"/>
          <w:highlight w:val="none"/>
          <w:lang w:val="en-US" w:eastAsia="zh-CN"/>
        </w:rPr>
        <w:t>二、信息采集人员范围</w:t>
      </w:r>
      <w:bookmarkEnd w:id="13"/>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根据全国统一平台规定，以下人员纳入信息采集范围，按要求填报并及时更新相关信息，个人对所填报信息的真实、准确、完整性负责，对提</w:t>
      </w:r>
      <w:r>
        <w:rPr>
          <w:rFonts w:hint="eastAsia" w:ascii="仿宋_GB2312" w:hAnsi="仿宋_GB2312" w:eastAsia="仿宋_GB2312" w:cs="仿宋_GB2312"/>
          <w:color w:val="auto"/>
          <w:spacing w:val="6"/>
          <w:sz w:val="30"/>
          <w:szCs w:val="30"/>
          <w:highlight w:val="none"/>
          <w:lang w:val="en-US" w:eastAsia="zh-CN"/>
        </w:rPr>
        <w:t>供虚假材料或不实信息，一经查实，相关后果由本人自行承担。</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highlight w:val="none"/>
          <w:lang w:val="en-US" w:eastAsia="zh-CN"/>
        </w:rPr>
      </w:pPr>
      <w:bookmarkStart w:id="14" w:name="_Toc22619"/>
      <w:r>
        <w:rPr>
          <w:rFonts w:hint="eastAsia" w:ascii="楷体_GB2312" w:hAnsi="楷体_GB2312" w:eastAsia="楷体_GB2312" w:cs="楷体_GB2312"/>
          <w:color w:val="auto"/>
          <w:spacing w:val="6"/>
          <w:sz w:val="30"/>
          <w:szCs w:val="30"/>
          <w:lang w:val="en-US" w:eastAsia="zh-CN"/>
        </w:rPr>
        <w:t>（一）会计人员（从事相关会计工作）</w:t>
      </w:r>
      <w:bookmarkEnd w:id="14"/>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请按“一、信息采集准备材料”要求准备全部五项资料，无专业技术资格证明材料的无需准备。</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15" w:name="_Toc22355"/>
      <w:r>
        <w:rPr>
          <w:rFonts w:hint="eastAsia" w:ascii="楷体_GB2312" w:hAnsi="楷体_GB2312" w:eastAsia="楷体_GB2312" w:cs="楷体_GB2312"/>
          <w:color w:val="auto"/>
          <w:spacing w:val="6"/>
          <w:sz w:val="30"/>
          <w:szCs w:val="30"/>
          <w:lang w:val="en-US" w:eastAsia="zh-CN"/>
        </w:rPr>
        <w:t>（二）不从事会计工作但具有会计专业技术资格的人员</w:t>
      </w:r>
      <w:bookmarkEnd w:id="15"/>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请按“一、信息采集准备材料”要求准备身份证照片、标准证件照片、教育经历证明材料、专业技术资格证明材料。</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16" w:name="_Toc17958"/>
      <w:r>
        <w:rPr>
          <w:rFonts w:hint="eastAsia" w:ascii="楷体_GB2312" w:hAnsi="楷体_GB2312" w:eastAsia="楷体_GB2312" w:cs="楷体_GB2312"/>
          <w:color w:val="auto"/>
          <w:spacing w:val="6"/>
          <w:sz w:val="30"/>
          <w:szCs w:val="30"/>
          <w:lang w:val="en-US" w:eastAsia="zh-CN"/>
        </w:rPr>
        <w:t>（三）暂未工作但拟报名初级会计资格考试的人员</w:t>
      </w:r>
      <w:bookmarkEnd w:id="16"/>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请按“一、信息采集准备材料”要求准备身份证照片、标准证件照片、教育经历证明材料。</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17" w:name="_Toc26540"/>
      <w:r>
        <w:rPr>
          <w:rFonts w:hint="eastAsia" w:ascii="楷体_GB2312" w:hAnsi="楷体_GB2312" w:eastAsia="楷体_GB2312" w:cs="楷体_GB2312"/>
          <w:color w:val="auto"/>
          <w:spacing w:val="6"/>
          <w:sz w:val="30"/>
          <w:szCs w:val="30"/>
          <w:lang w:val="en-US" w:eastAsia="zh-CN"/>
        </w:rPr>
        <w:t>（四）暂未工作但具有博士学位拟报名中级会计资格考试的人员</w:t>
      </w:r>
      <w:bookmarkEnd w:id="17"/>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请按“一、信息采集准备材料”要求准备身份证照片、标准证件照片、教育经历证明材料。</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18" w:name="_Toc25993"/>
      <w:r>
        <w:rPr>
          <w:rFonts w:hint="eastAsia" w:ascii="楷体_GB2312" w:hAnsi="楷体_GB2312" w:eastAsia="楷体_GB2312" w:cs="楷体_GB2312"/>
          <w:color w:val="auto"/>
          <w:spacing w:val="6"/>
          <w:sz w:val="30"/>
          <w:szCs w:val="30"/>
          <w:lang w:val="en-US" w:eastAsia="zh-CN"/>
        </w:rPr>
        <w:t>（五）不符合上述第一至第四项采集范围，但通过全国考试，取得中级经济、统计、审计专业技术资格，拟报名中级会计专业技术资格考试的人员</w:t>
      </w:r>
      <w:bookmarkEnd w:id="18"/>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请按“一、信息采集准备材料”要求准备身份证照片、标准证件照片、教育经历证明材料、专业技术资格证明材料。</w:t>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0"/>
        <w:rPr>
          <w:rFonts w:hint="eastAsia" w:ascii="黑体" w:hAnsi="黑体" w:eastAsia="黑体" w:cs="黑体"/>
          <w:color w:val="auto"/>
          <w:spacing w:val="6"/>
          <w:sz w:val="30"/>
          <w:szCs w:val="30"/>
          <w:lang w:val="en-US" w:eastAsia="zh-CN"/>
        </w:rPr>
      </w:pPr>
      <w:bookmarkStart w:id="19" w:name="_Toc32598"/>
      <w:r>
        <w:rPr>
          <w:rFonts w:hint="eastAsia" w:ascii="黑体" w:hAnsi="黑体" w:eastAsia="黑体" w:cs="黑体"/>
          <w:color w:val="auto"/>
          <w:spacing w:val="6"/>
          <w:sz w:val="30"/>
          <w:szCs w:val="30"/>
          <w:lang w:val="en-US" w:eastAsia="zh-CN"/>
        </w:rPr>
        <w:t>三、信息采集流程</w:t>
      </w:r>
      <w:bookmarkEnd w:id="19"/>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20" w:name="_Toc1973"/>
      <w:r>
        <w:rPr>
          <w:rFonts w:hint="eastAsia" w:ascii="楷体_GB2312" w:hAnsi="楷体_GB2312" w:eastAsia="楷体_GB2312" w:cs="楷体_GB2312"/>
          <w:color w:val="auto"/>
          <w:spacing w:val="6"/>
          <w:sz w:val="30"/>
          <w:szCs w:val="30"/>
          <w:lang w:val="en-US" w:eastAsia="zh-CN"/>
        </w:rPr>
        <w:t>（一）平台注册</w:t>
      </w:r>
      <w:bookmarkEnd w:id="20"/>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打开全国统一平台网址（</w:t>
      </w:r>
      <w:r>
        <w:rPr>
          <w:rFonts w:hint="default" w:ascii="仿宋_GB2312" w:hAnsi="仿宋_GB2312" w:eastAsia="仿宋_GB2312" w:cs="仿宋_GB2312"/>
          <w:color w:val="auto"/>
          <w:spacing w:val="6"/>
          <w:sz w:val="30"/>
          <w:szCs w:val="30"/>
          <w:lang w:val="en-US" w:eastAsia="zh-CN"/>
        </w:rPr>
        <w:t>https://ausm.mof.gov.cn/inde</w:t>
      </w:r>
      <w:r>
        <w:rPr>
          <w:rFonts w:hint="eastAsia" w:ascii="仿宋_GB2312" w:hAnsi="仿宋_GB2312" w:eastAsia="仿宋_GB2312" w:cs="仿宋_GB2312"/>
          <w:color w:val="auto"/>
          <w:spacing w:val="6"/>
          <w:sz w:val="30"/>
          <w:szCs w:val="30"/>
          <w:lang w:val="en-US" w:eastAsia="zh-CN"/>
        </w:rPr>
        <w:t>x）并点击页面右上角“注册”，根据提示填写相关信息，完成注册流程。</w:t>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59264" behindDoc="0" locked="0" layoutInCell="1" allowOverlap="1">
            <wp:simplePos x="0" y="0"/>
            <wp:positionH relativeFrom="column">
              <wp:posOffset>-183515</wp:posOffset>
            </wp:positionH>
            <wp:positionV relativeFrom="paragraph">
              <wp:posOffset>12700</wp:posOffset>
            </wp:positionV>
            <wp:extent cx="5946775" cy="3648710"/>
            <wp:effectExtent l="0" t="0" r="15875" b="8890"/>
            <wp:wrapNone/>
            <wp:docPr id="28" name="图片 28" descr="0f3bbe9d-9a7f-40eb-91bb-474c106f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f3bbe9d-9a7f-40eb-91bb-474c106f6583"/>
                    <pic:cNvPicPr>
                      <a:picLocks noChangeAspect="1"/>
                    </pic:cNvPicPr>
                  </pic:nvPicPr>
                  <pic:blipFill>
                    <a:blip r:embed="rId8"/>
                    <a:stretch>
                      <a:fillRect/>
                    </a:stretch>
                  </pic:blipFill>
                  <pic:spPr>
                    <a:xfrm>
                      <a:off x="0" y="0"/>
                      <a:ext cx="5946775" cy="3648710"/>
                    </a:xfrm>
                    <a:prstGeom prst="rect">
                      <a:avLst/>
                    </a:prstGeom>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r>
        <w:rPr>
          <w:color w:val="auto"/>
        </w:rPr>
        <w:drawing>
          <wp:anchor distT="0" distB="0" distL="114300" distR="114300" simplePos="0" relativeHeight="251672576" behindDoc="0" locked="0" layoutInCell="1" allowOverlap="1">
            <wp:simplePos x="0" y="0"/>
            <wp:positionH relativeFrom="column">
              <wp:posOffset>-187960</wp:posOffset>
            </wp:positionH>
            <wp:positionV relativeFrom="paragraph">
              <wp:posOffset>374015</wp:posOffset>
            </wp:positionV>
            <wp:extent cx="5958840" cy="4380865"/>
            <wp:effectExtent l="0" t="0" r="3810" b="635"/>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9"/>
                    <a:stretch>
                      <a:fillRect/>
                    </a:stretch>
                  </pic:blipFill>
                  <pic:spPr>
                    <a:xfrm>
                      <a:off x="0" y="0"/>
                      <a:ext cx="5958840" cy="4380865"/>
                    </a:xfrm>
                    <a:prstGeom prst="rect">
                      <a:avLst/>
                    </a:prstGeom>
                    <a:noFill/>
                    <a:ln>
                      <a:noFill/>
                    </a:ln>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outlineLvl w:val="9"/>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仿宋_GB2312" w:hAnsi="仿宋_GB2312" w:eastAsia="仿宋_GB2312" w:cs="仿宋_GB2312"/>
          <w:color w:val="auto"/>
          <w:sz w:val="32"/>
          <w:szCs w:val="32"/>
          <w:lang w:val="en-US" w:eastAsia="zh-CN"/>
        </w:rPr>
        <w:sectPr>
          <w:footerReference r:id="rId5" w:type="default"/>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21" w:name="_Toc32118"/>
      <w:r>
        <w:rPr>
          <w:rFonts w:hint="eastAsia" w:ascii="楷体_GB2312" w:hAnsi="楷体_GB2312" w:eastAsia="楷体_GB2312" w:cs="楷体_GB2312"/>
          <w:color w:val="auto"/>
          <w:spacing w:val="6"/>
          <w:sz w:val="30"/>
          <w:szCs w:val="30"/>
          <w:lang w:val="en-US" w:eastAsia="zh-CN"/>
        </w:rPr>
        <w:t>（二）平台登录</w:t>
      </w:r>
      <w:bookmarkEnd w:id="21"/>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点击“会计人员登录”，输入证件号或手机号、密码、验证码后，点击“登录”进入全国统一平台办理信息采集业务。</w:t>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drawing>
          <wp:anchor distT="0" distB="0" distL="114300" distR="114300" simplePos="0" relativeHeight="251670528" behindDoc="0" locked="0" layoutInCell="1" allowOverlap="1">
            <wp:simplePos x="0" y="0"/>
            <wp:positionH relativeFrom="column">
              <wp:posOffset>-195580</wp:posOffset>
            </wp:positionH>
            <wp:positionV relativeFrom="paragraph">
              <wp:posOffset>179705</wp:posOffset>
            </wp:positionV>
            <wp:extent cx="5938520" cy="2895600"/>
            <wp:effectExtent l="0" t="0" r="5080" b="0"/>
            <wp:wrapNone/>
            <wp:docPr id="34" name="图片 34" descr="df4efd4b-56b9-4ea6-8e96-21f4cc96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f4efd4b-56b9-4ea6-8e96-21f4cc960250"/>
                    <pic:cNvPicPr>
                      <a:picLocks noChangeAspect="1"/>
                    </pic:cNvPicPr>
                  </pic:nvPicPr>
                  <pic:blipFill>
                    <a:blip r:embed="rId10"/>
                    <a:stretch>
                      <a:fillRect/>
                    </a:stretch>
                  </pic:blipFill>
                  <pic:spPr>
                    <a:xfrm>
                      <a:off x="0" y="0"/>
                      <a:ext cx="5938520" cy="2895600"/>
                    </a:xfrm>
                    <a:prstGeom prst="rect">
                      <a:avLst/>
                    </a:prstGeom>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anchor distT="0" distB="0" distL="114300" distR="114300" simplePos="0" relativeHeight="251660288" behindDoc="0" locked="0" layoutInCell="1" allowOverlap="1">
            <wp:simplePos x="0" y="0"/>
            <wp:positionH relativeFrom="column">
              <wp:posOffset>-186690</wp:posOffset>
            </wp:positionH>
            <wp:positionV relativeFrom="paragraph">
              <wp:posOffset>107950</wp:posOffset>
            </wp:positionV>
            <wp:extent cx="5870575" cy="3347085"/>
            <wp:effectExtent l="0" t="0" r="15875" b="5715"/>
            <wp:wrapNone/>
            <wp:docPr id="35" name="图片 35" descr="63dece2a-7546-412a-80ef-4883a451d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3dece2a-7546-412a-80ef-4883a451d6d4"/>
                    <pic:cNvPicPr>
                      <a:picLocks noChangeAspect="1"/>
                    </pic:cNvPicPr>
                  </pic:nvPicPr>
                  <pic:blipFill>
                    <a:blip r:embed="rId11"/>
                    <a:stretch>
                      <a:fillRect/>
                    </a:stretch>
                  </pic:blipFill>
                  <pic:spPr>
                    <a:xfrm>
                      <a:off x="0" y="0"/>
                      <a:ext cx="5870575" cy="3347085"/>
                    </a:xfrm>
                    <a:prstGeom prst="rect">
                      <a:avLst/>
                    </a:prstGeom>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楷体_GB2312" w:hAnsi="楷体_GB2312" w:eastAsia="楷体_GB2312" w:cs="楷体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22" w:name="_Toc32522"/>
      <w:r>
        <w:rPr>
          <w:rFonts w:hint="eastAsia" w:ascii="楷体_GB2312" w:hAnsi="楷体_GB2312" w:eastAsia="楷体_GB2312" w:cs="楷体_GB2312"/>
          <w:color w:val="auto"/>
          <w:spacing w:val="6"/>
          <w:sz w:val="30"/>
          <w:szCs w:val="30"/>
          <w:lang w:val="en-US" w:eastAsia="zh-CN"/>
        </w:rPr>
        <w:t>（三）实名认证</w:t>
      </w:r>
      <w:bookmarkEnd w:id="22"/>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2"/>
          <w:sz w:val="30"/>
          <w:szCs w:val="30"/>
          <w:lang w:val="en-US" w:eastAsia="zh-CN"/>
        </w:rPr>
      </w:pPr>
      <w:r>
        <w:rPr>
          <w:rFonts w:hint="eastAsia" w:ascii="仿宋_GB2312" w:hAnsi="仿宋_GB2312" w:eastAsia="仿宋_GB2312" w:cs="仿宋_GB2312"/>
          <w:color w:val="auto"/>
          <w:spacing w:val="6"/>
          <w:sz w:val="30"/>
          <w:szCs w:val="30"/>
          <w:lang w:val="en-US" w:eastAsia="zh-CN"/>
        </w:rPr>
        <w:t>首次注册</w:t>
      </w:r>
      <w:r>
        <w:rPr>
          <w:rFonts w:hint="eastAsia" w:ascii="仿宋_GB2312" w:hAnsi="仿宋_GB2312" w:eastAsia="仿宋_GB2312" w:cs="仿宋_GB2312"/>
          <w:color w:val="auto"/>
          <w:spacing w:val="2"/>
          <w:sz w:val="30"/>
          <w:szCs w:val="30"/>
          <w:lang w:val="en-US" w:eastAsia="zh-CN"/>
        </w:rPr>
        <w:t>的人员登录全国统一平台并点击“会计人员信息采集”模块，页面将自动弹出实名认证窗口，根据提示完成实名认证。</w:t>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highlight w:val="none"/>
          <w:lang w:val="en-US" w:eastAsia="zh-CN"/>
        </w:rPr>
      </w:pPr>
      <w:r>
        <w:rPr>
          <w:rFonts w:hint="eastAsia" w:ascii="仿宋_GB2312" w:hAnsi="仿宋_GB2312" w:eastAsia="仿宋_GB2312" w:cs="仿宋_GB2312"/>
          <w:color w:val="auto"/>
          <w:spacing w:val="6"/>
          <w:sz w:val="30"/>
          <w:szCs w:val="30"/>
          <w:lang w:val="en-US" w:eastAsia="zh-CN"/>
        </w:rPr>
        <w:t>全国统一平台提供两种实名认证方式：一是使用本人支付宝账号扫码完成实名认证；二是本人线上实名认证，需上传本人</w:t>
      </w:r>
      <w:r>
        <w:rPr>
          <w:rFonts w:hint="eastAsia" w:ascii="仿宋_GB2312" w:hAnsi="仿宋_GB2312" w:eastAsia="仿宋_GB2312" w:cs="仿宋_GB2312"/>
          <w:color w:val="auto"/>
          <w:spacing w:val="6"/>
          <w:sz w:val="30"/>
          <w:szCs w:val="30"/>
          <w:highlight w:val="none"/>
          <w:lang w:val="en-US" w:eastAsia="zh-CN"/>
        </w:rPr>
        <w:t>清晰完整的有效</w:t>
      </w:r>
      <w:r>
        <w:rPr>
          <w:rFonts w:hint="eastAsia" w:ascii="仿宋_GB2312" w:hAnsi="仿宋_GB2312" w:eastAsia="仿宋_GB2312" w:cs="仿宋_GB2312"/>
          <w:color w:val="auto"/>
          <w:spacing w:val="6"/>
          <w:sz w:val="30"/>
          <w:szCs w:val="30"/>
          <w:lang w:val="en-US" w:eastAsia="zh-CN"/>
        </w:rPr>
        <w:t>身份证件正反面彩色照片及本人手持身份证照片。</w:t>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1312" behindDoc="0" locked="0" layoutInCell="1" allowOverlap="1">
            <wp:simplePos x="0" y="0"/>
            <wp:positionH relativeFrom="column">
              <wp:posOffset>-69850</wp:posOffset>
            </wp:positionH>
            <wp:positionV relativeFrom="paragraph">
              <wp:posOffset>151130</wp:posOffset>
            </wp:positionV>
            <wp:extent cx="5999480" cy="5438775"/>
            <wp:effectExtent l="0" t="0" r="1270" b="9525"/>
            <wp:wrapNone/>
            <wp:docPr id="36" name="图片 36" descr="55e0f587-5568-462d-8f57-d95a457d6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5e0f587-5568-462d-8f57-d95a457d60ad"/>
                    <pic:cNvPicPr>
                      <a:picLocks noChangeAspect="1"/>
                    </pic:cNvPicPr>
                  </pic:nvPicPr>
                  <pic:blipFill>
                    <a:blip r:embed="rId12"/>
                    <a:stretch>
                      <a:fillRect/>
                    </a:stretch>
                  </pic:blipFill>
                  <pic:spPr>
                    <a:xfrm>
                      <a:off x="0" y="0"/>
                      <a:ext cx="5999480" cy="5438775"/>
                    </a:xfrm>
                    <a:prstGeom prst="rect">
                      <a:avLst/>
                    </a:prstGeom>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both"/>
        <w:textAlignment w:val="auto"/>
        <w:rPr>
          <w:rFonts w:hint="default" w:ascii="仿宋_GB2312" w:hAnsi="仿宋_GB2312" w:eastAsia="仿宋_GB2312" w:cs="仿宋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1"/>
        <w:rPr>
          <w:rFonts w:hint="eastAsia" w:ascii="楷体_GB2312" w:hAnsi="楷体_GB2312" w:eastAsia="楷体_GB2312" w:cs="楷体_GB2312"/>
          <w:color w:val="auto"/>
          <w:spacing w:val="6"/>
          <w:sz w:val="30"/>
          <w:szCs w:val="30"/>
          <w:lang w:val="en-US" w:eastAsia="zh-CN"/>
        </w:rPr>
      </w:pPr>
      <w:bookmarkStart w:id="23" w:name="_Toc25461"/>
      <w:r>
        <w:rPr>
          <w:rFonts w:hint="eastAsia" w:ascii="楷体_GB2312" w:hAnsi="楷体_GB2312" w:eastAsia="楷体_GB2312" w:cs="楷体_GB2312"/>
          <w:color w:val="auto"/>
          <w:spacing w:val="6"/>
          <w:sz w:val="30"/>
          <w:szCs w:val="30"/>
          <w:lang w:val="en-US" w:eastAsia="zh-CN"/>
        </w:rPr>
        <w:t>（四）信息填报</w:t>
      </w:r>
      <w:bookmarkEnd w:id="23"/>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bookmarkStart w:id="24" w:name="_Toc1458"/>
      <w:r>
        <w:rPr>
          <w:rFonts w:hint="eastAsia" w:ascii="仿宋_GB2312" w:hAnsi="仿宋_GB2312" w:eastAsia="仿宋_GB2312" w:cs="仿宋_GB2312"/>
          <w:color w:val="auto"/>
          <w:spacing w:val="6"/>
          <w:sz w:val="30"/>
          <w:szCs w:val="30"/>
          <w:lang w:val="en-US" w:eastAsia="zh-CN"/>
        </w:rPr>
        <w:t>1.点击全国统一平台“会计人员信息采集”选项，进入信息采集页面。</w:t>
      </w:r>
      <w:bookmarkEnd w:id="24"/>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drawing>
          <wp:anchor distT="0" distB="0" distL="114300" distR="114300" simplePos="0" relativeHeight="251662336" behindDoc="0" locked="0" layoutInCell="1" allowOverlap="1">
            <wp:simplePos x="0" y="0"/>
            <wp:positionH relativeFrom="column">
              <wp:posOffset>-107950</wp:posOffset>
            </wp:positionH>
            <wp:positionV relativeFrom="paragraph">
              <wp:posOffset>72390</wp:posOffset>
            </wp:positionV>
            <wp:extent cx="6070600" cy="3123565"/>
            <wp:effectExtent l="0" t="0" r="6350" b="635"/>
            <wp:wrapNone/>
            <wp:docPr id="37" name="图片 37" descr="e8bffba9-2d6a-406a-9c55-2c17641eb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8bffba9-2d6a-406a-9c55-2c17641eb815"/>
                    <pic:cNvPicPr>
                      <a:picLocks noChangeAspect="1"/>
                    </pic:cNvPicPr>
                  </pic:nvPicPr>
                  <pic:blipFill>
                    <a:blip r:embed="rId13"/>
                    <a:stretch>
                      <a:fillRect/>
                    </a:stretch>
                  </pic:blipFill>
                  <pic:spPr>
                    <a:xfrm>
                      <a:off x="0" y="0"/>
                      <a:ext cx="6070600" cy="3123565"/>
                    </a:xfrm>
                    <a:prstGeom prst="rect">
                      <a:avLst/>
                    </a:prstGeom>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楷体_GB2312" w:hAnsi="楷体_GB2312" w:eastAsia="楷体_GB2312" w:cs="楷体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bookmarkStart w:id="25" w:name="_Toc20399"/>
      <w:r>
        <w:rPr>
          <w:rFonts w:hint="eastAsia" w:ascii="仿宋_GB2312" w:hAnsi="仿宋_GB2312" w:eastAsia="仿宋_GB2312" w:cs="仿宋_GB2312"/>
          <w:color w:val="auto"/>
          <w:spacing w:val="6"/>
          <w:sz w:val="30"/>
          <w:szCs w:val="30"/>
          <w:lang w:val="en-US" w:eastAsia="zh-CN"/>
        </w:rPr>
        <w:t>2.选择会计管理部门</w:t>
      </w:r>
      <w:bookmarkEnd w:id="25"/>
    </w:p>
    <w:p>
      <w:pPr>
        <w:pStyle w:val="2"/>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afterLines="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（1）从事会计相关工作的人员，按单位营业执照工商登记所在地选择（如：云南省市场监督管理局颁发的营业执照选择省直属，州、市级和县、市、区级市场监督管理局颁发的营业执照，选择对应所属地）。</w:t>
      </w:r>
    </w:p>
    <w:p>
      <w:pPr>
        <w:pStyle w:val="2"/>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afterLines="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（2）在校大学生按学籍所在地选择。</w:t>
      </w:r>
    </w:p>
    <w:p>
      <w:pPr>
        <w:pStyle w:val="2"/>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afterLines="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（3）除上述两类人员外，按身份证所属地选择。</w:t>
      </w:r>
    </w:p>
    <w:p>
      <w:pPr>
        <w:pStyle w:val="2"/>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afterLines="0" w:line="607" w:lineRule="exact"/>
        <w:ind w:firstLine="624" w:firstLineChars="200"/>
        <w:jc w:val="both"/>
        <w:textAlignment w:val="auto"/>
        <w:rPr>
          <w:rFonts w:hint="eastAsia" w:ascii="仿宋_GB2312" w:hAnsi="仿宋_GB2312" w:eastAsia="仿宋_GB2312" w:cs="仿宋_GB2312"/>
          <w:color w:val="auto"/>
          <w:spacing w:val="6"/>
          <w:sz w:val="30"/>
          <w:szCs w:val="30"/>
          <w:lang w:val="en-US" w:eastAsia="zh-CN"/>
        </w:rPr>
      </w:pPr>
      <w:bookmarkStart w:id="26" w:name="_Toc14805"/>
      <w:r>
        <w:rPr>
          <w:rFonts w:hint="eastAsia" w:ascii="仿宋_GB2312" w:hAnsi="仿宋_GB2312" w:eastAsia="仿宋_GB2312" w:cs="仿宋_GB2312"/>
          <w:color w:val="auto"/>
          <w:spacing w:val="6"/>
          <w:sz w:val="30"/>
          <w:szCs w:val="30"/>
          <w:lang w:val="en-US" w:eastAsia="zh-CN"/>
        </w:rPr>
        <w:t>如下图所列：昆明市五华区市场监督管理局颁发的营业执照，会计管理部门选择云南省—昆明地区—五华区。</w:t>
      </w:r>
      <w:bookmarkEnd w:id="26"/>
    </w:p>
    <w:p>
      <w:pPr>
        <w:pStyle w:val="2"/>
        <w:pBdr>
          <w:top w:val="none" w:color="auto" w:sz="0" w:space="0"/>
          <w:bottom w:val="none" w:color="auto" w:sz="0" w:space="0"/>
        </w:pBd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drawing>
          <wp:anchor distT="0" distB="0" distL="114300" distR="114300" simplePos="0" relativeHeight="251663360" behindDoc="1" locked="0" layoutInCell="1" allowOverlap="1">
            <wp:simplePos x="0" y="0"/>
            <wp:positionH relativeFrom="column">
              <wp:posOffset>-69215</wp:posOffset>
            </wp:positionH>
            <wp:positionV relativeFrom="paragraph">
              <wp:posOffset>-240030</wp:posOffset>
            </wp:positionV>
            <wp:extent cx="6223635" cy="3484880"/>
            <wp:effectExtent l="0" t="0" r="5715" b="1270"/>
            <wp:wrapNone/>
            <wp:docPr id="38" name="图片 38" descr="f5e0e7aa-a528-41ec-a0fb-d848bb8ad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5e0e7aa-a528-41ec-a0fb-d848bb8ad793"/>
                    <pic:cNvPicPr>
                      <a:picLocks noChangeAspect="1"/>
                    </pic:cNvPicPr>
                  </pic:nvPicPr>
                  <pic:blipFill>
                    <a:blip r:embed="rId14"/>
                    <a:stretch>
                      <a:fillRect/>
                    </a:stretch>
                  </pic:blipFill>
                  <pic:spPr>
                    <a:xfrm>
                      <a:off x="0" y="0"/>
                      <a:ext cx="6223635" cy="3484880"/>
                    </a:xfrm>
                    <a:prstGeom prst="rect">
                      <a:avLst/>
                    </a:prstGeom>
                  </pic:spPr>
                </pic:pic>
              </a:graphicData>
            </a:graphic>
          </wp:anchor>
        </w:drawing>
      </w:r>
    </w:p>
    <w:p>
      <w:pPr>
        <w:pStyle w:val="2"/>
        <w:pBdr>
          <w:top w:val="none" w:color="auto" w:sz="0" w:space="0"/>
          <w:bottom w:val="none" w:color="auto" w:sz="0" w:space="0"/>
        </w:pBdr>
        <w:rPr>
          <w:rFonts w:hint="eastAsia" w:ascii="仿宋_GB2312" w:hAnsi="仿宋_GB2312" w:eastAsia="仿宋_GB2312" w:cs="仿宋_GB2312"/>
          <w:color w:val="auto"/>
          <w:sz w:val="32"/>
          <w:szCs w:val="32"/>
          <w:highlight w:val="none"/>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仿宋_GB2312" w:hAnsi="仿宋_GB2312" w:eastAsia="仿宋_GB2312" w:cs="仿宋_GB2312"/>
          <w:color w:val="auto"/>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80" w:lineRule="exact"/>
        <w:textAlignment w:val="auto"/>
        <w:rPr>
          <w:rFonts w:hint="eastAsia"/>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480" w:firstLineChars="200"/>
        <w:jc w:val="left"/>
        <w:textAlignment w:val="auto"/>
        <w:rPr>
          <w:rFonts w:hint="eastAsia" w:ascii="仿宋_GB2312" w:hAnsi="仿宋_GB2312" w:eastAsia="仿宋_GB2312" w:cs="仿宋_GB2312"/>
          <w:color w:val="auto"/>
          <w:sz w:val="32"/>
          <w:szCs w:val="32"/>
          <w:lang w:val="en-US" w:eastAsia="zh-CN"/>
        </w:rPr>
      </w:pPr>
      <w:r>
        <w:rPr>
          <w:rFonts w:ascii="宋体" w:hAnsi="宋体" w:eastAsia="宋体" w:cs="宋体"/>
          <w:color w:val="auto"/>
          <w:sz w:val="24"/>
          <w:szCs w:val="24"/>
        </w:rPr>
        <w:drawing>
          <wp:anchor distT="0" distB="0" distL="114300" distR="114300" simplePos="0" relativeHeight="251673600" behindDoc="1" locked="0" layoutInCell="1" allowOverlap="1">
            <wp:simplePos x="0" y="0"/>
            <wp:positionH relativeFrom="column">
              <wp:posOffset>-143510</wp:posOffset>
            </wp:positionH>
            <wp:positionV relativeFrom="paragraph">
              <wp:posOffset>113665</wp:posOffset>
            </wp:positionV>
            <wp:extent cx="6295390" cy="4070350"/>
            <wp:effectExtent l="0" t="0" r="10160" b="6350"/>
            <wp:wrapNone/>
            <wp:docPr id="3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IMG_256"/>
                    <pic:cNvPicPr>
                      <a:picLocks noChangeAspect="1"/>
                    </pic:cNvPicPr>
                  </pic:nvPicPr>
                  <pic:blipFill>
                    <a:blip r:embed="rId15"/>
                    <a:stretch>
                      <a:fillRect/>
                    </a:stretch>
                  </pic:blipFill>
                  <pic:spPr>
                    <a:xfrm>
                      <a:off x="0" y="0"/>
                      <a:ext cx="6295390" cy="4070350"/>
                    </a:xfrm>
                    <a:prstGeom prst="rect">
                      <a:avLst/>
                    </a:prstGeom>
                    <a:noFill/>
                    <a:ln w="9525">
                      <a:noFill/>
                    </a:ln>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59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59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59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59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bookmarkStart w:id="27" w:name="_Toc16903"/>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3.选择采集范围</w:t>
      </w:r>
      <w:bookmarkEnd w:id="27"/>
      <w:r>
        <w:rPr>
          <w:rFonts w:hint="eastAsia" w:ascii="仿宋_GB2312" w:hAnsi="仿宋_GB2312" w:eastAsia="仿宋_GB2312" w:cs="仿宋_GB2312"/>
          <w:color w:val="auto"/>
          <w:spacing w:val="6"/>
          <w:sz w:val="30"/>
          <w:szCs w:val="30"/>
          <w:lang w:val="en-US" w:eastAsia="zh-CN"/>
        </w:rPr>
        <w:t>。</w:t>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r>
        <w:rPr>
          <w:color w:val="auto"/>
        </w:rPr>
        <w:drawing>
          <wp:anchor distT="0" distB="0" distL="114300" distR="114300" simplePos="0" relativeHeight="251664384" behindDoc="1" locked="0" layoutInCell="1" allowOverlap="1">
            <wp:simplePos x="0" y="0"/>
            <wp:positionH relativeFrom="column">
              <wp:posOffset>-192405</wp:posOffset>
            </wp:positionH>
            <wp:positionV relativeFrom="paragraph">
              <wp:posOffset>146050</wp:posOffset>
            </wp:positionV>
            <wp:extent cx="5963920" cy="5762625"/>
            <wp:effectExtent l="0" t="0" r="17780" b="9525"/>
            <wp:wrapNone/>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6"/>
                    <a:stretch>
                      <a:fillRect/>
                    </a:stretch>
                  </pic:blipFill>
                  <pic:spPr>
                    <a:xfrm>
                      <a:off x="0" y="0"/>
                      <a:ext cx="5963920" cy="5762625"/>
                    </a:xfrm>
                    <a:prstGeom prst="rect">
                      <a:avLst/>
                    </a:prstGeom>
                    <a:noFill/>
                    <a:ln>
                      <a:noFill/>
                    </a:ln>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607"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bookmarkStart w:id="28" w:name="_Toc4805"/>
      <w:r>
        <w:rPr>
          <w:rFonts w:hint="eastAsia" w:ascii="仿宋_GB2312" w:hAnsi="仿宋_GB2312" w:eastAsia="仿宋_GB2312" w:cs="仿宋_GB2312"/>
          <w:color w:val="auto"/>
          <w:spacing w:val="6"/>
          <w:sz w:val="30"/>
          <w:szCs w:val="30"/>
          <w:lang w:val="en-US" w:eastAsia="zh-CN"/>
        </w:rPr>
        <w:t>4.填写基本信息，并按要求上传白底彩色电子版证件照及身份证正反面彩色照片。</w:t>
      </w:r>
      <w:bookmarkEnd w:id="28"/>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5408" behindDoc="1" locked="0" layoutInCell="1" allowOverlap="1">
            <wp:simplePos x="0" y="0"/>
            <wp:positionH relativeFrom="column">
              <wp:posOffset>-61595</wp:posOffset>
            </wp:positionH>
            <wp:positionV relativeFrom="paragraph">
              <wp:posOffset>51435</wp:posOffset>
            </wp:positionV>
            <wp:extent cx="5827395" cy="6576695"/>
            <wp:effectExtent l="0" t="0" r="1905" b="14605"/>
            <wp:wrapNone/>
            <wp:docPr id="42" name="图片 42" descr="66686ca5-29d4-4929-92b0-29862acc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6686ca5-29d4-4929-92b0-29862acc8449"/>
                    <pic:cNvPicPr>
                      <a:picLocks noChangeAspect="1"/>
                    </pic:cNvPicPr>
                  </pic:nvPicPr>
                  <pic:blipFill>
                    <a:blip r:embed="rId17"/>
                    <a:stretch>
                      <a:fillRect/>
                    </a:stretch>
                  </pic:blipFill>
                  <pic:spPr>
                    <a:xfrm>
                      <a:off x="0" y="0"/>
                      <a:ext cx="5827395" cy="6576695"/>
                    </a:xfrm>
                    <a:prstGeom prst="rect">
                      <a:avLst/>
                    </a:prstGeom>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570" w:lineRule="exact"/>
        <w:ind w:firstLine="624" w:firstLineChars="200"/>
        <w:jc w:val="both"/>
        <w:textAlignment w:val="auto"/>
        <w:outlineLvl w:val="2"/>
        <w:rPr>
          <w:rFonts w:hint="eastAsia" w:ascii="仿宋_GB2312" w:hAnsi="仿宋_GB2312" w:eastAsia="仿宋_GB2312" w:cs="仿宋_GB2312"/>
          <w:color w:val="auto"/>
          <w:spacing w:val="6"/>
          <w:sz w:val="30"/>
          <w:szCs w:val="30"/>
          <w:lang w:val="en-US" w:eastAsia="zh-CN"/>
        </w:rPr>
      </w:pPr>
      <w:bookmarkStart w:id="29" w:name="_Toc7979"/>
      <w:r>
        <w:rPr>
          <w:rFonts w:hint="eastAsia" w:ascii="仿宋_GB2312" w:hAnsi="仿宋_GB2312" w:eastAsia="仿宋_GB2312" w:cs="仿宋_GB2312"/>
          <w:color w:val="auto"/>
          <w:spacing w:val="6"/>
          <w:sz w:val="30"/>
          <w:szCs w:val="30"/>
          <w:lang w:val="en-US" w:eastAsia="zh-CN"/>
        </w:rPr>
        <w:t>5.填写教育经历</w:t>
      </w:r>
      <w:bookmarkEnd w:id="29"/>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after="0" w:line="570" w:lineRule="exact"/>
        <w:ind w:firstLine="624" w:firstLineChars="200"/>
        <w:jc w:val="both"/>
        <w:textAlignment w:val="auto"/>
        <w:rPr>
          <w:rFonts w:hint="default" w:ascii="仿宋_GB2312" w:hAnsi="仿宋_GB2312" w:eastAsia="仿宋_GB2312" w:cs="仿宋_GB2312"/>
          <w:color w:val="auto"/>
          <w:spacing w:val="2"/>
          <w:sz w:val="30"/>
          <w:szCs w:val="30"/>
          <w:highlight w:val="yellow"/>
          <w:lang w:val="en-US" w:eastAsia="zh-CN"/>
        </w:rPr>
      </w:pPr>
      <w:r>
        <w:rPr>
          <w:rFonts w:hint="eastAsia" w:ascii="仿宋_GB2312" w:hAnsi="仿宋_GB2312" w:eastAsia="仿宋_GB2312" w:cs="仿宋_GB2312"/>
          <w:color w:val="auto"/>
          <w:spacing w:val="6"/>
          <w:sz w:val="30"/>
          <w:szCs w:val="30"/>
          <w:lang w:val="en-US" w:eastAsia="zh-CN"/>
        </w:rPr>
        <w:t>信息采集人员教育经历信息由全国统一平台与</w:t>
      </w:r>
      <w:r>
        <w:rPr>
          <w:rFonts w:hint="eastAsia" w:ascii="仿宋_GB2312" w:hAnsi="仿宋_GB2312" w:eastAsia="仿宋_GB2312" w:cs="仿宋_GB2312"/>
          <w:color w:val="auto"/>
          <w:spacing w:val="6"/>
          <w:sz w:val="30"/>
          <w:szCs w:val="30"/>
          <w:highlight w:val="none"/>
          <w:lang w:val="en-US" w:eastAsia="zh-CN"/>
        </w:rPr>
        <w:t>中国高等教育学生信息网自动比对，并</w:t>
      </w:r>
      <w:r>
        <w:rPr>
          <w:rFonts w:hint="eastAsia" w:ascii="仿宋_GB2312" w:hAnsi="仿宋_GB2312" w:eastAsia="仿宋_GB2312" w:cs="仿宋_GB2312"/>
          <w:color w:val="auto"/>
          <w:spacing w:val="6"/>
          <w:sz w:val="30"/>
          <w:szCs w:val="30"/>
          <w:lang w:val="en-US" w:eastAsia="zh-CN"/>
        </w:rPr>
        <w:t>请</w:t>
      </w:r>
      <w:r>
        <w:rPr>
          <w:rFonts w:hint="eastAsia" w:ascii="仿宋_GB2312" w:hAnsi="仿宋_GB2312" w:eastAsia="仿宋_GB2312" w:cs="仿宋_GB2312"/>
          <w:color w:val="auto"/>
          <w:spacing w:val="6"/>
          <w:sz w:val="30"/>
          <w:szCs w:val="30"/>
          <w:highlight w:val="none"/>
          <w:lang w:val="en-US" w:eastAsia="zh-CN"/>
        </w:rPr>
        <w:t>及时关注核验结果。</w:t>
      </w:r>
      <w:r>
        <w:rPr>
          <w:rFonts w:hint="eastAsia" w:ascii="仿宋_GB2312" w:hAnsi="仿宋_GB2312" w:eastAsia="仿宋_GB2312" w:cs="仿宋_GB2312"/>
          <w:color w:val="auto"/>
          <w:spacing w:val="2"/>
          <w:sz w:val="30"/>
          <w:szCs w:val="30"/>
          <w:highlight w:val="none"/>
          <w:lang w:val="en-US" w:eastAsia="zh-CN"/>
        </w:rPr>
        <w:t>自动</w:t>
      </w:r>
      <w:r>
        <w:rPr>
          <w:rFonts w:hint="eastAsia" w:ascii="仿宋_GB2312" w:hAnsi="仿宋_GB2312" w:eastAsia="仿宋_GB2312" w:cs="仿宋_GB2312"/>
          <w:color w:val="auto"/>
          <w:spacing w:val="2"/>
          <w:sz w:val="30"/>
          <w:szCs w:val="30"/>
          <w:lang w:val="en-US" w:eastAsia="zh-CN"/>
        </w:rPr>
        <w:t>核验未通过的，需按照“一、信息采集准备材料”中“教育经历证明材料”相关具体要求上传学历、学位证明材料，由属地财政部门进行人工审核</w:t>
      </w:r>
      <w:r>
        <w:rPr>
          <w:rFonts w:hint="eastAsia" w:ascii="仿宋_GB2312" w:hAnsi="仿宋_GB2312" w:eastAsia="仿宋_GB2312" w:cs="仿宋_GB2312"/>
          <w:color w:val="auto"/>
          <w:spacing w:val="2"/>
          <w:sz w:val="30"/>
          <w:szCs w:val="30"/>
          <w:highlight w:val="none"/>
          <w:lang w:val="en-US" w:eastAsia="zh-CN"/>
        </w:rPr>
        <w:t>。</w:t>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leftChars="0" w:firstLine="420" w:firstLineChars="200"/>
        <w:jc w:val="left"/>
        <w:textAlignment w:val="auto"/>
        <w:rPr>
          <w:rFonts w:hint="default" w:ascii="仿宋_GB2312" w:hAnsi="仿宋_GB2312" w:eastAsia="仿宋_GB2312" w:cs="仿宋_GB2312"/>
          <w:color w:val="auto"/>
          <w:sz w:val="32"/>
          <w:szCs w:val="32"/>
          <w:highlight w:val="yellow"/>
          <w:lang w:val="en-US" w:eastAsia="zh-CN"/>
        </w:rPr>
      </w:pPr>
      <w:r>
        <w:rPr>
          <w:color w:val="auto"/>
        </w:rPr>
        <w:drawing>
          <wp:anchor distT="0" distB="0" distL="114300" distR="114300" simplePos="0" relativeHeight="251666432" behindDoc="1" locked="0" layoutInCell="1" allowOverlap="1">
            <wp:simplePos x="0" y="0"/>
            <wp:positionH relativeFrom="column">
              <wp:posOffset>-6985</wp:posOffset>
            </wp:positionH>
            <wp:positionV relativeFrom="paragraph">
              <wp:posOffset>66040</wp:posOffset>
            </wp:positionV>
            <wp:extent cx="5564505" cy="3253740"/>
            <wp:effectExtent l="0" t="0" r="17145" b="3810"/>
            <wp:wrapNone/>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18"/>
                    <a:stretch>
                      <a:fillRect/>
                    </a:stretch>
                  </pic:blipFill>
                  <pic:spPr>
                    <a:xfrm>
                      <a:off x="0" y="0"/>
                      <a:ext cx="5564505" cy="3253740"/>
                    </a:xfrm>
                    <a:prstGeom prst="rect">
                      <a:avLst/>
                    </a:prstGeom>
                    <a:noFill/>
                    <a:ln>
                      <a:noFill/>
                    </a:ln>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r>
        <w:rPr>
          <w:color w:val="auto"/>
        </w:rPr>
        <w:drawing>
          <wp:anchor distT="0" distB="0" distL="114300" distR="114300" simplePos="0" relativeHeight="251667456" behindDoc="1" locked="0" layoutInCell="1" allowOverlap="1">
            <wp:simplePos x="0" y="0"/>
            <wp:positionH relativeFrom="column">
              <wp:posOffset>13970</wp:posOffset>
            </wp:positionH>
            <wp:positionV relativeFrom="paragraph">
              <wp:posOffset>2451735</wp:posOffset>
            </wp:positionV>
            <wp:extent cx="5559425" cy="2913380"/>
            <wp:effectExtent l="0" t="0" r="3175" b="1270"/>
            <wp:wrapNone/>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9"/>
                    <a:stretch>
                      <a:fillRect/>
                    </a:stretch>
                  </pic:blipFill>
                  <pic:spPr>
                    <a:xfrm>
                      <a:off x="0" y="0"/>
                      <a:ext cx="5559425" cy="2913380"/>
                    </a:xfrm>
                    <a:prstGeom prst="rect">
                      <a:avLst/>
                    </a:prstGeom>
                    <a:noFill/>
                    <a:ln>
                      <a:noFill/>
                    </a:ln>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outlineLvl w:val="2"/>
        <w:rPr>
          <w:rFonts w:hint="default" w:ascii="仿宋_GB2312" w:hAnsi="仿宋_GB2312" w:eastAsia="仿宋_GB2312" w:cs="仿宋_GB2312"/>
          <w:color w:val="auto"/>
          <w:spacing w:val="6"/>
          <w:sz w:val="30"/>
          <w:szCs w:val="30"/>
          <w:lang w:val="en-US" w:eastAsia="zh-CN"/>
        </w:rPr>
      </w:pPr>
      <w:bookmarkStart w:id="30" w:name="_Toc23621"/>
      <w:r>
        <w:rPr>
          <w:rFonts w:hint="eastAsia" w:ascii="仿宋_GB2312" w:hAnsi="仿宋_GB2312" w:eastAsia="仿宋_GB2312" w:cs="仿宋_GB2312"/>
          <w:color w:val="auto"/>
          <w:spacing w:val="6"/>
          <w:sz w:val="30"/>
          <w:szCs w:val="30"/>
          <w:lang w:val="en-US" w:eastAsia="zh-CN"/>
        </w:rPr>
        <w:t>6.填写工作经历。信息采集人员需按《会计工作（经历）证明》模版如实填写相关工作经历信息，并加盖单位公章或人事部门章后拍照上传。模版可通过全国统一平台或本指南附件下载。全日制学历人员在《会计工作（经历）证明》所填的工作开始时间不得早于或等于毕业证“毕业时间”，非全日制学历的人员不受上述限制；会计工作开始时间需与《会计工作（经历）证明》保持一致。</w:t>
      </w:r>
      <w:bookmarkEnd w:id="30"/>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jc w:val="both"/>
        <w:textAlignment w:val="auto"/>
        <w:rPr>
          <w:rFonts w:hint="eastAsia" w:ascii="仿宋_GB2312" w:hAnsi="仿宋_GB2312" w:eastAsia="仿宋_GB2312" w:cs="仿宋_GB2312"/>
          <w:color w:val="auto"/>
          <w:spacing w:val="6"/>
          <w:sz w:val="30"/>
          <w:szCs w:val="30"/>
          <w:highlight w:val="yellow"/>
          <w:lang w:val="en-US" w:eastAsia="zh-CN"/>
        </w:rPr>
      </w:pPr>
      <w:r>
        <w:rPr>
          <w:rFonts w:hint="eastAsia" w:ascii="仿宋_GB2312" w:hAnsi="仿宋_GB2312" w:eastAsia="仿宋_GB2312" w:cs="仿宋_GB2312"/>
          <w:color w:val="auto"/>
          <w:spacing w:val="6"/>
          <w:sz w:val="30"/>
          <w:szCs w:val="30"/>
          <w:lang w:val="en-US" w:eastAsia="zh-CN"/>
        </w:rPr>
        <w:t>从事会计工作或</w:t>
      </w:r>
      <w:r>
        <w:rPr>
          <w:rFonts w:hint="eastAsia" w:ascii="仿宋_GB2312" w:hAnsi="仿宋_GB2312" w:eastAsia="仿宋_GB2312" w:cs="仿宋_GB2312"/>
          <w:color w:val="auto"/>
          <w:spacing w:val="6"/>
          <w:sz w:val="30"/>
          <w:szCs w:val="30"/>
          <w:highlight w:val="none"/>
          <w:lang w:val="en-US" w:eastAsia="zh-CN"/>
        </w:rPr>
        <w:t>报考中级、高级资格会计考试的人员必须填写上传工作经历证明。</w:t>
      </w:r>
      <w:r>
        <w:rPr>
          <w:rFonts w:hint="eastAsia" w:ascii="仿宋_GB2312" w:hAnsi="仿宋_GB2312" w:eastAsia="仿宋_GB2312" w:cs="仿宋_GB2312"/>
          <w:color w:val="auto"/>
          <w:spacing w:val="6"/>
          <w:sz w:val="30"/>
          <w:szCs w:val="30"/>
          <w:lang w:val="en-US" w:eastAsia="zh-CN"/>
        </w:rPr>
        <w:t>无工作单位人员无需填报。</w:t>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r>
        <w:rPr>
          <w:color w:val="auto"/>
        </w:rPr>
        <w:drawing>
          <wp:anchor distT="0" distB="0" distL="114300" distR="114300" simplePos="0" relativeHeight="251668480" behindDoc="1" locked="0" layoutInCell="1" allowOverlap="1">
            <wp:simplePos x="0" y="0"/>
            <wp:positionH relativeFrom="column">
              <wp:posOffset>-186690</wp:posOffset>
            </wp:positionH>
            <wp:positionV relativeFrom="paragraph">
              <wp:posOffset>-897255</wp:posOffset>
            </wp:positionV>
            <wp:extent cx="6011545" cy="3476625"/>
            <wp:effectExtent l="0" t="0" r="8255" b="9525"/>
            <wp:wrapNone/>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0"/>
                    <a:stretch>
                      <a:fillRect/>
                    </a:stretch>
                  </pic:blipFill>
                  <pic:spPr>
                    <a:xfrm>
                      <a:off x="0" y="0"/>
                      <a:ext cx="6011545" cy="3476625"/>
                    </a:xfrm>
                    <a:prstGeom prst="rect">
                      <a:avLst/>
                    </a:prstGeom>
                    <a:noFill/>
                    <a:ln>
                      <a:noFill/>
                    </a:ln>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pBdr>
          <w:top w:val="none" w:color="auto" w:sz="0" w:space="0"/>
          <w:bottom w:val="none" w:color="auto" w:sz="0" w:space="0"/>
        </w:pBdr>
        <w:kinsoku/>
        <w:wordWrap/>
        <w:overflowPunct/>
        <w:topLinePunct w:val="0"/>
        <w:autoSpaceDE/>
        <w:autoSpaceDN/>
        <w:bidi w:val="0"/>
        <w:adjustRightInd/>
        <w:snapToGrid/>
        <w:spacing w:after="0" w:line="590" w:lineRule="exact"/>
        <w:ind w:firstLine="600" w:firstLineChars="200"/>
        <w:textAlignment w:val="auto"/>
        <w:outlineLvl w:val="2"/>
        <w:rPr>
          <w:rFonts w:hint="eastAsia" w:ascii="仿宋_GB2312" w:hAnsi="仿宋_GB2312" w:eastAsia="仿宋_GB2312" w:cs="仿宋_GB2312"/>
          <w:color w:val="auto"/>
          <w:sz w:val="30"/>
          <w:szCs w:val="30"/>
          <w:lang w:val="en-US" w:eastAsia="zh-CN"/>
        </w:rPr>
      </w:pPr>
      <w:bookmarkStart w:id="31" w:name="_Toc9095"/>
    </w:p>
    <w:p>
      <w:pPr>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line="607" w:lineRule="exact"/>
        <w:ind w:firstLine="624" w:firstLineChars="200"/>
        <w:textAlignment w:val="auto"/>
        <w:outlineLvl w:val="2"/>
        <w:rPr>
          <w:rFonts w:hint="eastAsia" w:ascii="仿宋_GB2312" w:hAnsi="仿宋_GB2312" w:eastAsia="仿宋_GB2312" w:cs="仿宋_GB2312"/>
          <w:color w:val="auto"/>
          <w:spacing w:val="6"/>
          <w:sz w:val="30"/>
          <w:szCs w:val="30"/>
          <w:lang w:val="en-US" w:eastAsia="zh-CN"/>
        </w:rPr>
      </w:pPr>
    </w:p>
    <w:p>
      <w:pPr>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line="587" w:lineRule="exact"/>
        <w:ind w:firstLine="624" w:firstLineChars="200"/>
        <w:textAlignment w:val="auto"/>
        <w:outlineLvl w:val="2"/>
        <w:rPr>
          <w:rFonts w:hint="eastAsia"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7.填写专业技术资格</w:t>
      </w:r>
      <w:bookmarkEnd w:id="31"/>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after="0" w:line="587" w:lineRule="exact"/>
        <w:ind w:firstLine="624" w:firstLineChars="200"/>
        <w:jc w:val="both"/>
        <w:textAlignment w:val="auto"/>
        <w:rPr>
          <w:rFonts w:hint="default" w:ascii="仿宋_GB2312" w:hAnsi="仿宋_GB2312" w:eastAsia="仿宋_GB2312" w:cs="仿宋_GB2312"/>
          <w:color w:val="auto"/>
          <w:spacing w:val="6"/>
          <w:sz w:val="30"/>
          <w:szCs w:val="30"/>
          <w:lang w:val="en-US" w:eastAsia="zh-CN"/>
        </w:rPr>
      </w:pPr>
      <w:r>
        <w:rPr>
          <w:rFonts w:hint="eastAsia" w:ascii="仿宋_GB2312" w:hAnsi="仿宋_GB2312" w:eastAsia="仿宋_GB2312" w:cs="仿宋_GB2312"/>
          <w:color w:val="auto"/>
          <w:spacing w:val="6"/>
          <w:sz w:val="30"/>
          <w:szCs w:val="30"/>
          <w:lang w:val="en-US" w:eastAsia="zh-CN"/>
        </w:rPr>
        <w:t>已通过全国会计、审计、统计、经济、税务等专业技术资格考试并取得证书的信息采集人员，按页面要求完整填写相关信息后，由全国统一平台自动核验专业技术资格。自动核验未通过的，需上传本人专业技术资格证书</w:t>
      </w:r>
      <w:r>
        <w:rPr>
          <w:rFonts w:hint="eastAsia" w:ascii="仿宋_GB2312" w:hAnsi="仿宋_GB2312" w:eastAsia="仿宋_GB2312" w:cs="仿宋_GB2312"/>
          <w:color w:val="auto"/>
          <w:spacing w:val="6"/>
          <w:sz w:val="30"/>
          <w:szCs w:val="30"/>
          <w:highlight w:val="none"/>
          <w:lang w:val="en-US" w:eastAsia="zh-CN"/>
        </w:rPr>
        <w:t>或XX高级评审委员会评审通过证明文件的</w:t>
      </w:r>
      <w:r>
        <w:rPr>
          <w:rFonts w:hint="eastAsia" w:ascii="仿宋_GB2312" w:hAnsi="仿宋_GB2312" w:eastAsia="仿宋_GB2312" w:cs="仿宋_GB2312"/>
          <w:color w:val="auto"/>
          <w:spacing w:val="6"/>
          <w:sz w:val="30"/>
          <w:szCs w:val="30"/>
          <w:lang w:val="en-US" w:eastAsia="zh-CN"/>
        </w:rPr>
        <w:t>彩色照片，</w:t>
      </w:r>
      <w:r>
        <w:rPr>
          <w:rFonts w:hint="eastAsia" w:ascii="仿宋_GB2312" w:hAnsi="仿宋_GB2312" w:eastAsia="仿宋_GB2312" w:cs="仿宋_GB2312"/>
          <w:color w:val="auto"/>
          <w:spacing w:val="6"/>
          <w:sz w:val="30"/>
          <w:szCs w:val="30"/>
          <w:highlight w:val="none"/>
          <w:lang w:val="en-US" w:eastAsia="zh-CN"/>
        </w:rPr>
        <w:t>注册会计师、资产评估师需上传会员证</w:t>
      </w:r>
      <w:r>
        <w:rPr>
          <w:rFonts w:hint="eastAsia" w:ascii="仿宋_GB2312" w:hAnsi="仿宋_GB2312" w:eastAsia="仿宋_GB2312" w:cs="仿宋_GB2312"/>
          <w:color w:val="auto"/>
          <w:spacing w:val="6"/>
          <w:sz w:val="30"/>
          <w:szCs w:val="30"/>
          <w:lang w:val="en-US" w:eastAsia="zh-CN"/>
        </w:rPr>
        <w:t>彩色</w:t>
      </w:r>
      <w:r>
        <w:rPr>
          <w:rFonts w:hint="eastAsia" w:ascii="仿宋_GB2312" w:hAnsi="仿宋_GB2312" w:eastAsia="仿宋_GB2312" w:cs="仿宋_GB2312"/>
          <w:color w:val="auto"/>
          <w:spacing w:val="6"/>
          <w:sz w:val="30"/>
          <w:szCs w:val="30"/>
          <w:highlight w:val="none"/>
          <w:lang w:val="en-US" w:eastAsia="zh-CN"/>
        </w:rPr>
        <w:t>照片，由属地财政部门人工审核。</w:t>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r>
        <w:rPr>
          <w:color w:val="auto"/>
        </w:rPr>
        <w:drawing>
          <wp:anchor distT="0" distB="0" distL="114300" distR="114300" simplePos="0" relativeHeight="251669504" behindDoc="1" locked="0" layoutInCell="1" allowOverlap="1">
            <wp:simplePos x="0" y="0"/>
            <wp:positionH relativeFrom="column">
              <wp:posOffset>-70485</wp:posOffset>
            </wp:positionH>
            <wp:positionV relativeFrom="paragraph">
              <wp:posOffset>243205</wp:posOffset>
            </wp:positionV>
            <wp:extent cx="5820410" cy="3320415"/>
            <wp:effectExtent l="0" t="0" r="8890" b="13335"/>
            <wp:wrapNone/>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21"/>
                    <a:stretch>
                      <a:fillRect/>
                    </a:stretch>
                  </pic:blipFill>
                  <pic:spPr>
                    <a:xfrm>
                      <a:off x="0" y="0"/>
                      <a:ext cx="5820410" cy="3320415"/>
                    </a:xfrm>
                    <a:prstGeom prst="rect">
                      <a:avLst/>
                    </a:prstGeom>
                    <a:noFill/>
                    <a:ln>
                      <a:noFill/>
                    </a:ln>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pBdr>
          <w:top w:val="none" w:color="auto" w:sz="0" w:space="0"/>
          <w:bottom w:val="none" w:color="auto" w:sz="0" w:space="0"/>
        </w:pBdr>
        <w:kinsoku/>
        <w:wordWrap/>
        <w:overflowPunct w:val="0"/>
        <w:topLinePunct w:val="0"/>
        <w:autoSpaceDE/>
        <w:autoSpaceDN/>
        <w:bidi w:val="0"/>
        <w:adjustRightInd/>
        <w:snapToGrid/>
        <w:spacing w:after="0" w:line="540" w:lineRule="exact"/>
        <w:ind w:firstLine="592" w:firstLineChars="200"/>
        <w:textAlignment w:val="auto"/>
        <w:outlineLvl w:val="2"/>
        <w:rPr>
          <w:rFonts w:hint="eastAsia" w:ascii="仿宋_GB2312" w:hAnsi="仿宋_GB2312" w:eastAsia="仿宋_GB2312" w:cs="仿宋_GB2312"/>
          <w:color w:val="auto"/>
          <w:spacing w:val="-2"/>
          <w:sz w:val="30"/>
          <w:szCs w:val="30"/>
          <w:lang w:val="en-US" w:eastAsia="zh-CN"/>
        </w:rPr>
      </w:pPr>
      <w:bookmarkStart w:id="32" w:name="_Toc8641"/>
      <w:r>
        <w:rPr>
          <w:rFonts w:hint="eastAsia" w:ascii="仿宋_GB2312" w:hAnsi="仿宋_GB2312" w:eastAsia="仿宋_GB2312" w:cs="仿宋_GB2312"/>
          <w:color w:val="auto"/>
          <w:spacing w:val="-2"/>
          <w:sz w:val="30"/>
          <w:szCs w:val="30"/>
          <w:lang w:val="en-US" w:eastAsia="zh-CN"/>
        </w:rPr>
        <w:t>8.采集信息提交。信息采集人员勾选“承诺所提供信息真实有效”并点击提交。后续需关注全国统一平台审核结果。页面显示“审核通过”，说明信息采集流程结束。页面显示“审核未通过”，请按提示补充完善资料后重新提交，如有疑问，请拨打页面公布的咨询电话。</w:t>
      </w:r>
      <w:bookmarkEnd w:id="32"/>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pPr>
      <w:r>
        <w:rPr>
          <w:rFonts w:ascii="宋体" w:hAnsi="宋体" w:eastAsia="宋体" w:cs="宋体"/>
          <w:color w:val="auto"/>
          <w:spacing w:val="-2"/>
          <w:sz w:val="24"/>
          <w:szCs w:val="24"/>
        </w:rPr>
        <w:drawing>
          <wp:anchor distT="0" distB="0" distL="114300" distR="114300" simplePos="0" relativeHeight="251674624" behindDoc="1" locked="0" layoutInCell="1" allowOverlap="1">
            <wp:simplePos x="0" y="0"/>
            <wp:positionH relativeFrom="column">
              <wp:posOffset>34925</wp:posOffset>
            </wp:positionH>
            <wp:positionV relativeFrom="paragraph">
              <wp:posOffset>62865</wp:posOffset>
            </wp:positionV>
            <wp:extent cx="5504815" cy="2866390"/>
            <wp:effectExtent l="0" t="0" r="635" b="10160"/>
            <wp:wrapNone/>
            <wp:docPr id="4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IMG_256"/>
                    <pic:cNvPicPr>
                      <a:picLocks noChangeAspect="1"/>
                    </pic:cNvPicPr>
                  </pic:nvPicPr>
                  <pic:blipFill>
                    <a:blip r:embed="rId22"/>
                    <a:stretch>
                      <a:fillRect/>
                    </a:stretch>
                  </pic:blipFill>
                  <pic:spPr>
                    <a:xfrm>
                      <a:off x="0" y="0"/>
                      <a:ext cx="5504815" cy="2866390"/>
                    </a:xfrm>
                    <a:prstGeom prst="rect">
                      <a:avLst/>
                    </a:prstGeom>
                    <a:noFill/>
                    <a:ln w="9525">
                      <a:noFill/>
                    </a:ln>
                  </pic:spPr>
                </pic:pic>
              </a:graphicData>
            </a:graphic>
          </wp:anchor>
        </w:drawing>
      </w:r>
    </w:p>
    <w:p>
      <w:pPr>
        <w:keepNext w:val="0"/>
        <w:keepLines w:val="0"/>
        <w:pageBreakBefore w:val="0"/>
        <w:numPr>
          <w:ilvl w:val="0"/>
          <w:numId w:val="0"/>
        </w:numPr>
        <w:pBdr>
          <w:top w:val="none" w:color="auto" w:sz="0" w:space="0"/>
          <w:bottom w:val="none" w:color="auto" w:sz="0" w:space="0"/>
        </w:pBdr>
        <w:kinsoku/>
        <w:wordWrap/>
        <w:overflowPunct/>
        <w:topLinePunct w:val="0"/>
        <w:autoSpaceDE/>
        <w:autoSpaceDN/>
        <w:bidi w:val="0"/>
        <w:snapToGrid/>
        <w:spacing w:line="590" w:lineRule="exact"/>
        <w:jc w:val="left"/>
        <w:textAlignment w:val="auto"/>
        <w:rPr>
          <w:rFonts w:hint="default" w:ascii="仿宋_GB2312" w:hAnsi="仿宋_GB2312" w:eastAsia="仿宋_GB2312" w:cs="仿宋_GB2312"/>
          <w:color w:val="auto"/>
          <w:sz w:val="32"/>
          <w:szCs w:val="32"/>
          <w:lang w:val="en-US"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r>
        <w:rPr>
          <w:rFonts w:ascii="宋体" w:hAnsi="宋体" w:eastAsia="宋体" w:cs="宋体"/>
          <w:color w:val="auto"/>
          <w:sz w:val="24"/>
          <w:szCs w:val="24"/>
        </w:rPr>
        <w:drawing>
          <wp:anchor distT="0" distB="0" distL="114300" distR="114300" simplePos="0" relativeHeight="251675648" behindDoc="1" locked="0" layoutInCell="1" allowOverlap="1">
            <wp:simplePos x="0" y="0"/>
            <wp:positionH relativeFrom="column">
              <wp:posOffset>53975</wp:posOffset>
            </wp:positionH>
            <wp:positionV relativeFrom="paragraph">
              <wp:posOffset>129540</wp:posOffset>
            </wp:positionV>
            <wp:extent cx="5410200" cy="3141980"/>
            <wp:effectExtent l="0" t="0" r="0" b="1270"/>
            <wp:wrapNone/>
            <wp:docPr id="4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IMG_256"/>
                    <pic:cNvPicPr>
                      <a:picLocks noChangeAspect="1"/>
                    </pic:cNvPicPr>
                  </pic:nvPicPr>
                  <pic:blipFill>
                    <a:blip r:embed="rId23"/>
                    <a:stretch>
                      <a:fillRect/>
                    </a:stretch>
                  </pic:blipFill>
                  <pic:spPr>
                    <a:xfrm>
                      <a:off x="0" y="0"/>
                      <a:ext cx="5410200" cy="3141980"/>
                    </a:xfrm>
                    <a:prstGeom prst="rect">
                      <a:avLst/>
                    </a:prstGeom>
                    <a:noFill/>
                    <a:ln w="9525">
                      <a:noFill/>
                    </a:ln>
                  </pic:spPr>
                </pic:pic>
              </a:graphicData>
            </a:graphic>
          </wp:anchor>
        </w:drawing>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val="0"/>
        <w:topLinePunct w:val="0"/>
        <w:autoSpaceDE/>
        <w:autoSpaceDN/>
        <w:bidi w:val="0"/>
        <w:adjustRightInd/>
        <w:snapToGrid/>
        <w:spacing w:before="320" w:after="0" w:line="607" w:lineRule="exact"/>
        <w:ind w:firstLine="600" w:firstLineChars="200"/>
        <w:jc w:val="both"/>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附件：会计工作（经历）证明</w:t>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both"/>
        <w:textAlignment w:val="auto"/>
        <w:rPr>
          <w:rFonts w:hint="default"/>
          <w:color w:val="auto"/>
          <w:sz w:val="30"/>
          <w:szCs w:val="30"/>
          <w:lang w:val="en-US"/>
        </w:rPr>
      </w:pPr>
      <w:r>
        <w:rPr>
          <w:rFonts w:hint="eastAsia" w:ascii="仿宋_GB2312" w:hAnsi="仿宋_GB2312" w:eastAsia="仿宋_GB2312" w:cs="仿宋_GB2312"/>
          <w:color w:val="auto"/>
          <w:sz w:val="30"/>
          <w:szCs w:val="30"/>
          <w:lang w:val="en-US" w:eastAsia="zh-CN"/>
        </w:rPr>
        <w:drawing>
          <wp:anchor distT="0" distB="0" distL="114300" distR="114300" simplePos="0" relativeHeight="251671552" behindDoc="1" locked="0" layoutInCell="1" allowOverlap="1">
            <wp:simplePos x="0" y="0"/>
            <wp:positionH relativeFrom="column">
              <wp:posOffset>-7620</wp:posOffset>
            </wp:positionH>
            <wp:positionV relativeFrom="paragraph">
              <wp:posOffset>448310</wp:posOffset>
            </wp:positionV>
            <wp:extent cx="5648960" cy="6784975"/>
            <wp:effectExtent l="0" t="0" r="8890" b="15875"/>
            <wp:wrapNone/>
            <wp:docPr id="49" name="图片 49" descr="0d67f0bf-f45d-45af-832f-4bff0dba9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d67f0bf-f45d-45af-832f-4bff0dba97df"/>
                    <pic:cNvPicPr>
                      <a:picLocks noChangeAspect="1"/>
                    </pic:cNvPicPr>
                  </pic:nvPicPr>
                  <pic:blipFill>
                    <a:blip r:embed="rId24"/>
                    <a:stretch>
                      <a:fillRect/>
                    </a:stretch>
                  </pic:blipFill>
                  <pic:spPr>
                    <a:xfrm>
                      <a:off x="0" y="0"/>
                      <a:ext cx="5648960" cy="6784975"/>
                    </a:xfrm>
                    <a:prstGeom prst="rect">
                      <a:avLst/>
                    </a:prstGeom>
                  </pic:spPr>
                </pic:pic>
              </a:graphicData>
            </a:graphic>
          </wp:anchor>
        </w:drawing>
      </w:r>
      <w:r>
        <w:rPr>
          <w:rFonts w:hint="eastAsia" w:ascii="黑体" w:hAnsi="黑体" w:eastAsia="黑体" w:cs="黑体"/>
          <w:color w:val="auto"/>
          <w:sz w:val="30"/>
          <w:szCs w:val="30"/>
          <w:lang w:val="en-US" w:eastAsia="zh-CN"/>
        </w:rPr>
        <w:t>附件</w:t>
      </w: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keepNext w:val="0"/>
        <w:keepLines w:val="0"/>
        <w:pageBreakBefore w:val="0"/>
        <w:widowControl w:val="0"/>
        <w:numPr>
          <w:ilvl w:val="0"/>
          <w:numId w:val="0"/>
        </w:numPr>
        <w:pBdr>
          <w:top w:val="none" w:color="auto" w:sz="0" w:space="0"/>
          <w:bottom w:val="none" w:color="auto" w:sz="0" w:space="0"/>
        </w:pBdr>
        <w:kinsoku/>
        <w:wordWrap/>
        <w:overflowPunct/>
        <w:topLinePunct w:val="0"/>
        <w:autoSpaceDE/>
        <w:autoSpaceDN/>
        <w:bidi w:val="0"/>
        <w:adjustRightInd/>
        <w:snapToGrid/>
        <w:spacing w:line="590" w:lineRule="exact"/>
        <w:jc w:val="left"/>
        <w:textAlignment w:val="auto"/>
        <w:rPr>
          <w:rFonts w:hint="eastAsia" w:ascii="黑体" w:hAnsi="黑体" w:eastAsia="黑体" w:cs="黑体"/>
          <w:b w:val="0"/>
          <w:bCs/>
          <w:color w:val="auto"/>
          <w:sz w:val="32"/>
          <w:szCs w:val="32"/>
          <w:lang w:val="en-US" w:eastAsia="zh-CN"/>
        </w:rPr>
      </w:pPr>
    </w:p>
    <w:p>
      <w:pPr>
        <w:pBdr>
          <w:top w:val="none" w:color="auto" w:sz="0" w:space="0"/>
          <w:bottom w:val="none" w:color="auto" w:sz="0" w:space="0"/>
        </w:pBdr>
        <w:rPr>
          <w:color w:val="auto"/>
        </w:rPr>
      </w:pPr>
    </w:p>
    <w:p>
      <w:pPr>
        <w:pBdr>
          <w:top w:val="none" w:color="auto" w:sz="0" w:space="0"/>
          <w:bottom w:val="none" w:color="auto" w:sz="0" w:space="0"/>
        </w:pBdr>
        <w:rPr>
          <w:color w:val="auto"/>
        </w:rPr>
      </w:pPr>
    </w:p>
    <w:p>
      <w:pPr>
        <w:pStyle w:val="4"/>
        <w:keepNext w:val="0"/>
        <w:keepLines w:val="0"/>
        <w:pageBreakBefore w:val="0"/>
        <w:widowControl w:val="0"/>
        <w:pBdr>
          <w:top w:val="none" w:color="auto" w:sz="0" w:space="0"/>
          <w:bottom w:val="none" w:color="auto" w:sz="0" w:space="0"/>
        </w:pBdr>
        <w:kinsoku/>
        <w:wordWrap/>
        <w:overflowPunct/>
        <w:topLinePunct w:val="0"/>
        <w:autoSpaceDE/>
        <w:autoSpaceDN/>
        <w:bidi w:val="0"/>
        <w:adjustRightInd w:val="0"/>
        <w:spacing w:after="0" w:line="560" w:lineRule="exact"/>
        <w:ind w:firstLine="0"/>
        <w:textAlignment w:val="auto"/>
        <w:rPr>
          <w:rFonts w:hint="default" w:ascii="仿宋_GB2312"/>
          <w:color w:val="auto"/>
          <w:spacing w:val="14"/>
          <w:sz w:val="30"/>
          <w:szCs w:val="30"/>
          <w:lang w:val="en"/>
        </w:rPr>
      </w:pPr>
    </w:p>
    <w:p>
      <w:pPr>
        <w:pStyle w:val="4"/>
        <w:keepNext w:val="0"/>
        <w:keepLines w:val="0"/>
        <w:pageBreakBefore w:val="0"/>
        <w:widowControl w:val="0"/>
        <w:pBdr>
          <w:top w:val="none" w:color="auto" w:sz="0" w:space="0"/>
          <w:bottom w:val="none" w:color="auto" w:sz="0" w:space="0"/>
        </w:pBdr>
        <w:kinsoku/>
        <w:wordWrap/>
        <w:overflowPunct/>
        <w:topLinePunct w:val="0"/>
        <w:autoSpaceDE/>
        <w:autoSpaceDN/>
        <w:bidi w:val="0"/>
        <w:adjustRightInd w:val="0"/>
        <w:spacing w:after="0" w:line="560" w:lineRule="exact"/>
        <w:ind w:firstLine="0"/>
        <w:textAlignment w:val="auto"/>
        <w:rPr>
          <w:rFonts w:hint="default" w:ascii="仿宋_GB2312"/>
          <w:color w:val="auto"/>
          <w:spacing w:val="14"/>
          <w:sz w:val="30"/>
          <w:szCs w:val="30"/>
          <w:lang w:val="en"/>
        </w:rPr>
      </w:pPr>
    </w:p>
    <w:p>
      <w:pPr>
        <w:pStyle w:val="4"/>
        <w:keepNext w:val="0"/>
        <w:keepLines w:val="0"/>
        <w:pageBreakBefore w:val="0"/>
        <w:widowControl w:val="0"/>
        <w:pBdr>
          <w:top w:val="none" w:color="auto" w:sz="0" w:space="0"/>
          <w:bottom w:val="none" w:color="auto" w:sz="0" w:space="0"/>
        </w:pBdr>
        <w:kinsoku/>
        <w:wordWrap/>
        <w:overflowPunct/>
        <w:topLinePunct w:val="0"/>
        <w:autoSpaceDE/>
        <w:autoSpaceDN/>
        <w:bidi w:val="0"/>
        <w:adjustRightInd w:val="0"/>
        <w:spacing w:after="0" w:line="560" w:lineRule="exact"/>
        <w:ind w:firstLine="0"/>
        <w:textAlignment w:val="auto"/>
        <w:rPr>
          <w:rFonts w:hint="default" w:ascii="仿宋_GB2312"/>
          <w:color w:val="auto"/>
          <w:spacing w:val="14"/>
          <w:sz w:val="30"/>
          <w:szCs w:val="30"/>
          <w:lang w:val="en"/>
        </w:rPr>
      </w:pPr>
    </w:p>
    <w:p>
      <w:pPr>
        <w:keepNext w:val="0"/>
        <w:keepLines w:val="0"/>
        <w:pageBreakBefore w:val="0"/>
        <w:widowControl w:val="0"/>
        <w:pBdr>
          <w:top w:val="none" w:color="auto" w:sz="0" w:space="0"/>
          <w:bottom w:val="none" w:color="auto" w:sz="0" w:space="0"/>
        </w:pBdr>
        <w:kinsoku/>
        <w:wordWrap/>
        <w:overflowPunct/>
        <w:topLinePunct w:val="0"/>
        <w:autoSpaceDE/>
        <w:autoSpaceDN/>
        <w:bidi w:val="0"/>
        <w:adjustRightInd/>
        <w:snapToGrid/>
        <w:spacing w:after="0" w:line="20" w:lineRule="atLeast"/>
        <w:jc w:val="left"/>
        <w:textAlignment w:val="auto"/>
        <w:rPr>
          <w:color w:val="auto"/>
        </w:rPr>
      </w:pPr>
      <w:bookmarkStart w:id="33" w:name="正文结束"/>
      <w:bookmarkEnd w:id="33"/>
    </w:p>
    <w:p>
      <w:pPr>
        <w:bidi w:val="0"/>
        <w:ind w:firstLine="291" w:firstLineChars="0"/>
        <w:jc w:val="left"/>
        <w:rPr>
          <w:rFonts w:ascii="Calibri" w:hAnsi="Calibri" w:eastAsia="宋体" w:cs="Times New Roman"/>
          <w:kern w:val="2"/>
          <w:sz w:val="21"/>
          <w:szCs w:val="22"/>
          <w:lang w:val="en-US" w:eastAsia="zh-CN" w:bidi="ar-SA"/>
        </w:rPr>
      </w:pPr>
    </w:p>
    <w:p>
      <w:pPr>
        <w:bidi w:val="0"/>
        <w:jc w:val="left"/>
        <w:rPr>
          <w:lang w:val="en-US" w:eastAsia="zh-CN"/>
        </w:rPr>
      </w:pPr>
      <w:bookmarkStart w:id="34" w:name="_GoBack"/>
      <w:bookmarkEnd w:id="34"/>
    </w:p>
    <w:sectPr>
      <w:footerReference r:id="rId6" w:type="default"/>
      <w:pgSz w:w="11906" w:h="16838"/>
      <w:pgMar w:top="2098" w:right="1474" w:bottom="1984" w:left="1587" w:header="851" w:footer="1417" w:gutter="0"/>
      <w:pgBorders>
        <w:top w:val="none" w:sz="0" w:space="0"/>
        <w:left w:val="none" w:sz="0" w:space="0"/>
        <w:bottom w:val="none" w:sz="0" w:space="0"/>
        <w:right w:val="none" w:sz="0" w:space="0"/>
      </w:pgBorders>
      <w:pgNumType w:fmt="decimal"/>
      <w:cols w:space="720" w:num="1"/>
      <w:formProt w:val="0"/>
      <w:docGrid w:type="lines" w:linePitch="57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公文小标宋简">
    <w:altName w:val="方正小标宋_GBK"/>
    <w:panose1 w:val="00000000000000000000"/>
    <w:charset w:val="86"/>
    <w:family w:val="modern"/>
    <w:pitch w:val="default"/>
    <w:sig w:usb0="00000000" w:usb1="00000000" w:usb2="00000010" w:usb3="00000000" w:csb0="00040000" w:csb1="00000000"/>
  </w:font>
  <w:font w:name="方正小标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overflowPunct/>
                            <w:topLinePunct w:val="0"/>
                            <w:autoSpaceDE/>
                            <w:autoSpaceDN/>
                            <w:bidi w:val="0"/>
                            <w:adjustRightInd/>
                            <w:snapToGrid w:val="0"/>
                            <w:spacing w:line="260" w:lineRule="auto"/>
                            <w:ind w:left="315" w:leftChars="150" w:right="315" w:rightChars="15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overflowPunct/>
                      <w:topLinePunct w:val="0"/>
                      <w:autoSpaceDE/>
                      <w:autoSpaceDN/>
                      <w:bidi w:val="0"/>
                      <w:adjustRightInd/>
                      <w:snapToGrid w:val="0"/>
                      <w:spacing w:line="260" w:lineRule="auto"/>
                      <w:ind w:left="315" w:leftChars="150" w:right="315" w:rightChars="15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overflowPunct/>
                            <w:topLinePunct w:val="0"/>
                            <w:autoSpaceDE/>
                            <w:autoSpaceDN/>
                            <w:bidi w:val="0"/>
                            <w:adjustRightInd/>
                            <w:snapToGrid w:val="0"/>
                            <w:spacing w:line="260" w:lineRule="auto"/>
                            <w:ind w:left="315" w:leftChars="150" w:right="315" w:rightChars="15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iLBc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TS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jaIsFxECAAAJBAAADgAAAAAAAAABACAA&#10;AAAfAQAAZHJzL2Uyb0RvYy54bWxQSwUGAAAAAAYABgBZAQAAogU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overflowPunct/>
                      <w:topLinePunct w:val="0"/>
                      <w:autoSpaceDE/>
                      <w:autoSpaceDN/>
                      <w:bidi w:val="0"/>
                      <w:adjustRightInd/>
                      <w:snapToGrid w:val="0"/>
                      <w:spacing w:line="260" w:lineRule="auto"/>
                      <w:ind w:left="315" w:leftChars="150" w:right="315" w:rightChars="15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210"/>
  <w:drawingGridVerticalSpacing w:val="286"/>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15"/>
    <w:rsid w:val="000048AF"/>
    <w:rsid w:val="0000568E"/>
    <w:rsid w:val="00013A97"/>
    <w:rsid w:val="00034892"/>
    <w:rsid w:val="00052367"/>
    <w:rsid w:val="00063920"/>
    <w:rsid w:val="00076200"/>
    <w:rsid w:val="00080115"/>
    <w:rsid w:val="00080BD5"/>
    <w:rsid w:val="0008779F"/>
    <w:rsid w:val="00090DB6"/>
    <w:rsid w:val="000A5C0C"/>
    <w:rsid w:val="000B6A4A"/>
    <w:rsid w:val="000C697F"/>
    <w:rsid w:val="000D1002"/>
    <w:rsid w:val="000F68BC"/>
    <w:rsid w:val="001032F0"/>
    <w:rsid w:val="00107238"/>
    <w:rsid w:val="001076F1"/>
    <w:rsid w:val="0012241F"/>
    <w:rsid w:val="00133967"/>
    <w:rsid w:val="0014189C"/>
    <w:rsid w:val="00147379"/>
    <w:rsid w:val="00162DC7"/>
    <w:rsid w:val="00170BEE"/>
    <w:rsid w:val="00175470"/>
    <w:rsid w:val="00195E9F"/>
    <w:rsid w:val="001A5613"/>
    <w:rsid w:val="001C602B"/>
    <w:rsid w:val="001D179D"/>
    <w:rsid w:val="001F0881"/>
    <w:rsid w:val="001F6A72"/>
    <w:rsid w:val="00205F45"/>
    <w:rsid w:val="00206241"/>
    <w:rsid w:val="0021189D"/>
    <w:rsid w:val="00211EC0"/>
    <w:rsid w:val="0021278C"/>
    <w:rsid w:val="00220A88"/>
    <w:rsid w:val="00220DF6"/>
    <w:rsid w:val="00235815"/>
    <w:rsid w:val="002377F6"/>
    <w:rsid w:val="00246FC7"/>
    <w:rsid w:val="0027345F"/>
    <w:rsid w:val="002736D2"/>
    <w:rsid w:val="00285329"/>
    <w:rsid w:val="00292FB6"/>
    <w:rsid w:val="002A0EED"/>
    <w:rsid w:val="002A2154"/>
    <w:rsid w:val="002A6349"/>
    <w:rsid w:val="002D2E2B"/>
    <w:rsid w:val="002D6516"/>
    <w:rsid w:val="002E1266"/>
    <w:rsid w:val="002E36CF"/>
    <w:rsid w:val="002F1660"/>
    <w:rsid w:val="002F3BA0"/>
    <w:rsid w:val="00300DDC"/>
    <w:rsid w:val="0031586E"/>
    <w:rsid w:val="00320EBE"/>
    <w:rsid w:val="0034457C"/>
    <w:rsid w:val="00377679"/>
    <w:rsid w:val="00392024"/>
    <w:rsid w:val="003A3E8A"/>
    <w:rsid w:val="003A45DA"/>
    <w:rsid w:val="003A4A13"/>
    <w:rsid w:val="003C3C62"/>
    <w:rsid w:val="003D0CF1"/>
    <w:rsid w:val="003D0F2F"/>
    <w:rsid w:val="003D1D76"/>
    <w:rsid w:val="003D436F"/>
    <w:rsid w:val="003D5D36"/>
    <w:rsid w:val="003D6C22"/>
    <w:rsid w:val="003D6DDB"/>
    <w:rsid w:val="003D6DE9"/>
    <w:rsid w:val="003E5185"/>
    <w:rsid w:val="00402CCC"/>
    <w:rsid w:val="00414F32"/>
    <w:rsid w:val="00416DC1"/>
    <w:rsid w:val="00440EBA"/>
    <w:rsid w:val="00454779"/>
    <w:rsid w:val="00463633"/>
    <w:rsid w:val="004746FB"/>
    <w:rsid w:val="004803AA"/>
    <w:rsid w:val="0048077D"/>
    <w:rsid w:val="00486969"/>
    <w:rsid w:val="0049445F"/>
    <w:rsid w:val="00494D3E"/>
    <w:rsid w:val="004A4CA9"/>
    <w:rsid w:val="004B7634"/>
    <w:rsid w:val="004C049D"/>
    <w:rsid w:val="004C3BF3"/>
    <w:rsid w:val="004D1D17"/>
    <w:rsid w:val="004E21F5"/>
    <w:rsid w:val="004F1597"/>
    <w:rsid w:val="00512BF9"/>
    <w:rsid w:val="00516120"/>
    <w:rsid w:val="0054000C"/>
    <w:rsid w:val="00542A76"/>
    <w:rsid w:val="0054455E"/>
    <w:rsid w:val="005445C6"/>
    <w:rsid w:val="005506C3"/>
    <w:rsid w:val="00551530"/>
    <w:rsid w:val="00557F4A"/>
    <w:rsid w:val="00563F00"/>
    <w:rsid w:val="00573DEA"/>
    <w:rsid w:val="00574469"/>
    <w:rsid w:val="005810F3"/>
    <w:rsid w:val="005C14B6"/>
    <w:rsid w:val="005D0D81"/>
    <w:rsid w:val="005D4C36"/>
    <w:rsid w:val="005D4F5E"/>
    <w:rsid w:val="005D5175"/>
    <w:rsid w:val="005E62C1"/>
    <w:rsid w:val="00600A2D"/>
    <w:rsid w:val="00605D48"/>
    <w:rsid w:val="00635305"/>
    <w:rsid w:val="00636C8A"/>
    <w:rsid w:val="006424F9"/>
    <w:rsid w:val="0066170D"/>
    <w:rsid w:val="00670F6E"/>
    <w:rsid w:val="00682EB9"/>
    <w:rsid w:val="006B411C"/>
    <w:rsid w:val="006C1733"/>
    <w:rsid w:val="00713809"/>
    <w:rsid w:val="00723C05"/>
    <w:rsid w:val="00726CAB"/>
    <w:rsid w:val="00752765"/>
    <w:rsid w:val="00756A59"/>
    <w:rsid w:val="00764900"/>
    <w:rsid w:val="007801DC"/>
    <w:rsid w:val="007A2B81"/>
    <w:rsid w:val="007A7F88"/>
    <w:rsid w:val="007B01EC"/>
    <w:rsid w:val="007C0DCD"/>
    <w:rsid w:val="007C1224"/>
    <w:rsid w:val="007C1D88"/>
    <w:rsid w:val="007C713B"/>
    <w:rsid w:val="007E5019"/>
    <w:rsid w:val="007F53F4"/>
    <w:rsid w:val="00804823"/>
    <w:rsid w:val="00817E2A"/>
    <w:rsid w:val="00822F54"/>
    <w:rsid w:val="0082443F"/>
    <w:rsid w:val="0083421E"/>
    <w:rsid w:val="00836C02"/>
    <w:rsid w:val="0083724D"/>
    <w:rsid w:val="008415AC"/>
    <w:rsid w:val="008519E0"/>
    <w:rsid w:val="00875994"/>
    <w:rsid w:val="0089473A"/>
    <w:rsid w:val="00894861"/>
    <w:rsid w:val="00895D20"/>
    <w:rsid w:val="008B0959"/>
    <w:rsid w:val="008C39EE"/>
    <w:rsid w:val="008D26AA"/>
    <w:rsid w:val="008F2C1B"/>
    <w:rsid w:val="00910F0D"/>
    <w:rsid w:val="00935DAC"/>
    <w:rsid w:val="0094076C"/>
    <w:rsid w:val="00941BDA"/>
    <w:rsid w:val="00963ADA"/>
    <w:rsid w:val="0097636E"/>
    <w:rsid w:val="009B031F"/>
    <w:rsid w:val="009B3DAB"/>
    <w:rsid w:val="009C1003"/>
    <w:rsid w:val="009E21C7"/>
    <w:rsid w:val="009E3FA3"/>
    <w:rsid w:val="009F0D9A"/>
    <w:rsid w:val="009F300B"/>
    <w:rsid w:val="00A05570"/>
    <w:rsid w:val="00A22B7B"/>
    <w:rsid w:val="00A30860"/>
    <w:rsid w:val="00A33A4D"/>
    <w:rsid w:val="00A442D4"/>
    <w:rsid w:val="00A53513"/>
    <w:rsid w:val="00A65181"/>
    <w:rsid w:val="00A7026D"/>
    <w:rsid w:val="00A77A03"/>
    <w:rsid w:val="00A84F6B"/>
    <w:rsid w:val="00A87868"/>
    <w:rsid w:val="00AB04D9"/>
    <w:rsid w:val="00AB64E6"/>
    <w:rsid w:val="00AE146F"/>
    <w:rsid w:val="00AE381A"/>
    <w:rsid w:val="00AE66BF"/>
    <w:rsid w:val="00AF3737"/>
    <w:rsid w:val="00B01F8B"/>
    <w:rsid w:val="00B039C6"/>
    <w:rsid w:val="00B10AB9"/>
    <w:rsid w:val="00B11439"/>
    <w:rsid w:val="00B30A3F"/>
    <w:rsid w:val="00B51CAD"/>
    <w:rsid w:val="00B524F1"/>
    <w:rsid w:val="00B543B5"/>
    <w:rsid w:val="00B6696D"/>
    <w:rsid w:val="00B91AE0"/>
    <w:rsid w:val="00B97CF9"/>
    <w:rsid w:val="00BB57D8"/>
    <w:rsid w:val="00BB6012"/>
    <w:rsid w:val="00BF5461"/>
    <w:rsid w:val="00C0097F"/>
    <w:rsid w:val="00C027A4"/>
    <w:rsid w:val="00C16F25"/>
    <w:rsid w:val="00C44735"/>
    <w:rsid w:val="00C44EAA"/>
    <w:rsid w:val="00C51C76"/>
    <w:rsid w:val="00C6724E"/>
    <w:rsid w:val="00C70408"/>
    <w:rsid w:val="00C83123"/>
    <w:rsid w:val="00C97C61"/>
    <w:rsid w:val="00CA2394"/>
    <w:rsid w:val="00CC0F58"/>
    <w:rsid w:val="00CC228C"/>
    <w:rsid w:val="00CC51FC"/>
    <w:rsid w:val="00CD6672"/>
    <w:rsid w:val="00CF6110"/>
    <w:rsid w:val="00CF6BED"/>
    <w:rsid w:val="00D02C6D"/>
    <w:rsid w:val="00D07307"/>
    <w:rsid w:val="00D13024"/>
    <w:rsid w:val="00D16F78"/>
    <w:rsid w:val="00D26B0F"/>
    <w:rsid w:val="00D617AF"/>
    <w:rsid w:val="00D735B5"/>
    <w:rsid w:val="00D9565E"/>
    <w:rsid w:val="00DA27AF"/>
    <w:rsid w:val="00DA625A"/>
    <w:rsid w:val="00DB0219"/>
    <w:rsid w:val="00DB60CE"/>
    <w:rsid w:val="00DC2FF5"/>
    <w:rsid w:val="00DD3FB0"/>
    <w:rsid w:val="00DF0ACB"/>
    <w:rsid w:val="00DF198D"/>
    <w:rsid w:val="00E057E2"/>
    <w:rsid w:val="00E1436F"/>
    <w:rsid w:val="00E16DFE"/>
    <w:rsid w:val="00E2572C"/>
    <w:rsid w:val="00E26B58"/>
    <w:rsid w:val="00E33B7E"/>
    <w:rsid w:val="00E35C93"/>
    <w:rsid w:val="00E61BAD"/>
    <w:rsid w:val="00E66F31"/>
    <w:rsid w:val="00E70761"/>
    <w:rsid w:val="00E75647"/>
    <w:rsid w:val="00E77EBE"/>
    <w:rsid w:val="00E812A3"/>
    <w:rsid w:val="00E831D3"/>
    <w:rsid w:val="00E85D06"/>
    <w:rsid w:val="00E90FAA"/>
    <w:rsid w:val="00E924E0"/>
    <w:rsid w:val="00E932E7"/>
    <w:rsid w:val="00EA0347"/>
    <w:rsid w:val="00EB0BAF"/>
    <w:rsid w:val="00EB722A"/>
    <w:rsid w:val="00ED3498"/>
    <w:rsid w:val="00EE57AF"/>
    <w:rsid w:val="00F01617"/>
    <w:rsid w:val="00F33791"/>
    <w:rsid w:val="00F53490"/>
    <w:rsid w:val="00F55673"/>
    <w:rsid w:val="00F70386"/>
    <w:rsid w:val="00F71AC3"/>
    <w:rsid w:val="00F830BF"/>
    <w:rsid w:val="00F91FD9"/>
    <w:rsid w:val="00F97C32"/>
    <w:rsid w:val="00FA2E1E"/>
    <w:rsid w:val="00FA3145"/>
    <w:rsid w:val="00FE139E"/>
    <w:rsid w:val="00FE2B16"/>
    <w:rsid w:val="00FF0F00"/>
    <w:rsid w:val="051F28A6"/>
    <w:rsid w:val="06180495"/>
    <w:rsid w:val="07473373"/>
    <w:rsid w:val="07DB32E0"/>
    <w:rsid w:val="08F00BBF"/>
    <w:rsid w:val="0A1E583F"/>
    <w:rsid w:val="0AA4727C"/>
    <w:rsid w:val="0B506813"/>
    <w:rsid w:val="1025703E"/>
    <w:rsid w:val="10C83C29"/>
    <w:rsid w:val="116C446D"/>
    <w:rsid w:val="12B73C14"/>
    <w:rsid w:val="13935AED"/>
    <w:rsid w:val="155823BC"/>
    <w:rsid w:val="15C16883"/>
    <w:rsid w:val="164555EF"/>
    <w:rsid w:val="17183BC3"/>
    <w:rsid w:val="187214EF"/>
    <w:rsid w:val="18DF24CE"/>
    <w:rsid w:val="1A02739D"/>
    <w:rsid w:val="1BB94E3A"/>
    <w:rsid w:val="1BD23855"/>
    <w:rsid w:val="1C18738B"/>
    <w:rsid w:val="1CF804C8"/>
    <w:rsid w:val="1D326D70"/>
    <w:rsid w:val="1D7124C9"/>
    <w:rsid w:val="1D745DA5"/>
    <w:rsid w:val="1E17773C"/>
    <w:rsid w:val="1EE8627B"/>
    <w:rsid w:val="22DA6D78"/>
    <w:rsid w:val="22E218A3"/>
    <w:rsid w:val="23D53EB4"/>
    <w:rsid w:val="252F02B6"/>
    <w:rsid w:val="282B564C"/>
    <w:rsid w:val="2A7D4AD3"/>
    <w:rsid w:val="2A9D0021"/>
    <w:rsid w:val="2C59196F"/>
    <w:rsid w:val="2CC327CF"/>
    <w:rsid w:val="2D076BC9"/>
    <w:rsid w:val="2DA415ED"/>
    <w:rsid w:val="2E1105ED"/>
    <w:rsid w:val="316159E4"/>
    <w:rsid w:val="31FE337B"/>
    <w:rsid w:val="32225171"/>
    <w:rsid w:val="365661BD"/>
    <w:rsid w:val="36627F4D"/>
    <w:rsid w:val="36BB3A03"/>
    <w:rsid w:val="389F305C"/>
    <w:rsid w:val="39F53C56"/>
    <w:rsid w:val="3A8A4A28"/>
    <w:rsid w:val="3AD52FD5"/>
    <w:rsid w:val="3C4F3747"/>
    <w:rsid w:val="3FAE688E"/>
    <w:rsid w:val="3FAE7B18"/>
    <w:rsid w:val="403F50B8"/>
    <w:rsid w:val="40F76B10"/>
    <w:rsid w:val="416B519D"/>
    <w:rsid w:val="42055CD4"/>
    <w:rsid w:val="42937100"/>
    <w:rsid w:val="42B03BEF"/>
    <w:rsid w:val="45E269D1"/>
    <w:rsid w:val="46544DF8"/>
    <w:rsid w:val="46762894"/>
    <w:rsid w:val="46CC2BAD"/>
    <w:rsid w:val="48D1272B"/>
    <w:rsid w:val="4A4F363D"/>
    <w:rsid w:val="4C306C13"/>
    <w:rsid w:val="4C762892"/>
    <w:rsid w:val="4CE93F91"/>
    <w:rsid w:val="4E936ED5"/>
    <w:rsid w:val="526A2382"/>
    <w:rsid w:val="53FB42B0"/>
    <w:rsid w:val="544965A6"/>
    <w:rsid w:val="567C41C5"/>
    <w:rsid w:val="582C4C9A"/>
    <w:rsid w:val="58C54353"/>
    <w:rsid w:val="5EAD2713"/>
    <w:rsid w:val="63CE3150"/>
    <w:rsid w:val="64D85396"/>
    <w:rsid w:val="694A6E1D"/>
    <w:rsid w:val="699348F1"/>
    <w:rsid w:val="6B750B7E"/>
    <w:rsid w:val="6BB64E7E"/>
    <w:rsid w:val="6BE021DB"/>
    <w:rsid w:val="6C855941"/>
    <w:rsid w:val="6ED900BC"/>
    <w:rsid w:val="6FE37B85"/>
    <w:rsid w:val="6FF55679"/>
    <w:rsid w:val="701B036B"/>
    <w:rsid w:val="709C0B61"/>
    <w:rsid w:val="713911F4"/>
    <w:rsid w:val="72692274"/>
    <w:rsid w:val="73E64646"/>
    <w:rsid w:val="754311A6"/>
    <w:rsid w:val="764B6D4E"/>
    <w:rsid w:val="768A2CCD"/>
    <w:rsid w:val="774F0164"/>
    <w:rsid w:val="7AE45863"/>
    <w:rsid w:val="7C3B0B8E"/>
    <w:rsid w:val="7DBB23AF"/>
    <w:rsid w:val="7DFF09E3"/>
    <w:rsid w:val="7E3633E6"/>
    <w:rsid w:val="7E67557B"/>
    <w:rsid w:val="7F7710B9"/>
    <w:rsid w:val="D9F7EA1E"/>
    <w:rsid w:val="DFECB59F"/>
    <w:rsid w:val="FFA3E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paragraph" w:styleId="3">
    <w:name w:val="heading 3"/>
    <w:basedOn w:val="1"/>
    <w:next w:val="1"/>
    <w:unhideWhenUsed/>
    <w:qFormat/>
    <w:uiPriority w:val="0"/>
    <w:pPr>
      <w:keepNext/>
      <w:keepLines/>
      <w:spacing w:before="260" w:after="260" w:line="413" w:lineRule="auto"/>
      <w:outlineLvl w:val="2"/>
    </w:pPr>
    <w:rPr>
      <w:rFonts w:ascii="Times New Roman" w:hAnsi="Times New Roman" w:eastAsia="仿宋_GB2312" w:cs="Times New Roman"/>
      <w:b/>
      <w:sz w:val="32"/>
      <w:szCs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spacing w:after="120" w:afterLines="0" w:afterAutospacing="0" w:line="480" w:lineRule="auto"/>
    </w:pPr>
    <w:rPr>
      <w:rFonts w:ascii="Times New Roman" w:hAnsi="Times New Roman" w:eastAsia="宋体" w:cs="Times New Roman"/>
      <w:sz w:val="30"/>
      <w:szCs w:val="24"/>
    </w:rPr>
  </w:style>
  <w:style w:type="paragraph" w:styleId="4">
    <w:name w:val="Normal Indent"/>
    <w:basedOn w:val="1"/>
    <w:qFormat/>
    <w:uiPriority w:val="0"/>
    <w:pPr>
      <w:ind w:firstLine="630"/>
    </w:pPr>
    <w:rPr>
      <w:rFonts w:ascii="Times New Roman" w:hAnsi="Times New Roman" w:eastAsia="仿宋_GB2312"/>
      <w:kern w:val="0"/>
      <w:sz w:val="32"/>
      <w:szCs w:val="20"/>
    </w:rPr>
  </w:style>
  <w:style w:type="paragraph" w:styleId="5">
    <w:name w:val="Body Text Indent"/>
    <w:basedOn w:val="1"/>
    <w:next w:val="1"/>
    <w:qFormat/>
    <w:uiPriority w:val="0"/>
    <w:pPr>
      <w:autoSpaceDE w:val="0"/>
      <w:autoSpaceDN w:val="0"/>
      <w:adjustRightInd w:val="0"/>
      <w:spacing w:after="120" w:afterLines="0" w:line="360" w:lineRule="atLeast"/>
      <w:ind w:left="900"/>
    </w:pPr>
    <w:rPr>
      <w:rFonts w:ascii="楷体_GB2312" w:hAnsi="Times New Roman" w:eastAsia="楷体_GB2312" w:cs="Times New Roman"/>
      <w:kern w:val="0"/>
      <w:sz w:val="28"/>
      <w:szCs w:val="20"/>
    </w:rPr>
  </w:style>
  <w:style w:type="paragraph" w:styleId="6">
    <w:name w:val="toc 3"/>
    <w:basedOn w:val="1"/>
    <w:next w:val="1"/>
    <w:qFormat/>
    <w:uiPriority w:val="0"/>
    <w:pPr>
      <w:spacing w:after="0" w:line="240" w:lineRule="auto"/>
      <w:ind w:left="840" w:leftChars="400"/>
    </w:pPr>
    <w:rPr>
      <w:rFonts w:ascii="Times New Roman" w:hAnsi="Times New Roman" w:eastAsia="仿宋_GB2312" w:cs="Times New Roman"/>
      <w:sz w:val="30"/>
      <w:szCs w:val="24"/>
    </w:rPr>
  </w:style>
  <w:style w:type="paragraph" w:styleId="7">
    <w:name w:val="footer"/>
    <w:basedOn w:val="1"/>
    <w:link w:val="19"/>
    <w:qFormat/>
    <w:uiPriority w:val="0"/>
    <w:pPr>
      <w:tabs>
        <w:tab w:val="center" w:pos="4153"/>
        <w:tab w:val="right" w:pos="8306"/>
      </w:tabs>
      <w:snapToGrid w:val="0"/>
      <w:jc w:val="left"/>
    </w:pPr>
    <w:rPr>
      <w:kern w:val="0"/>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spacing w:after="0" w:line="240" w:lineRule="auto"/>
    </w:pPr>
    <w:rPr>
      <w:rFonts w:ascii="Times New Roman" w:hAnsi="Times New Roman" w:eastAsia="仿宋_GB2312" w:cs="Times New Roman"/>
      <w:sz w:val="30"/>
      <w:szCs w:val="24"/>
    </w:rPr>
  </w:style>
  <w:style w:type="paragraph" w:styleId="10">
    <w:name w:val="toc 2"/>
    <w:basedOn w:val="1"/>
    <w:next w:val="1"/>
    <w:qFormat/>
    <w:uiPriority w:val="0"/>
    <w:pPr>
      <w:spacing w:after="0" w:line="240" w:lineRule="auto"/>
      <w:ind w:left="420" w:leftChars="200"/>
    </w:pPr>
    <w:rPr>
      <w:rFonts w:ascii="Times New Roman" w:hAnsi="Times New Roman" w:eastAsia="仿宋_GB2312" w:cs="Times New Roman"/>
      <w:sz w:val="30"/>
      <w:szCs w:val="24"/>
    </w:rPr>
  </w:style>
  <w:style w:type="paragraph" w:styleId="11">
    <w:name w:val="Normal (Web)"/>
    <w:basedOn w:val="1"/>
    <w:qFormat/>
    <w:uiPriority w:val="0"/>
    <w:pPr>
      <w:spacing w:before="100" w:beforeAutospacing="1" w:after="100" w:afterAutospacing="1" w:line="240" w:lineRule="auto"/>
      <w:ind w:left="0" w:right="0"/>
      <w:jc w:val="left"/>
    </w:pPr>
    <w:rPr>
      <w:rFonts w:ascii="Times New Roman" w:hAnsi="Times New Roman" w:eastAsia="宋体" w:cs="Times New Roman"/>
      <w:kern w:val="0"/>
      <w:sz w:val="24"/>
      <w:szCs w:val="24"/>
      <w:lang w:val="en-US" w:eastAsia="zh-CN" w:bidi="ar"/>
    </w:rPr>
  </w:style>
  <w:style w:type="table" w:styleId="13">
    <w:name w:val="Table Grid"/>
    <w:basedOn w:val="1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page number"/>
    <w:qFormat/>
    <w:uiPriority w:val="0"/>
    <w:rPr>
      <w:rFonts w:eastAsia="宋体"/>
      <w:sz w:val="28"/>
    </w:rPr>
  </w:style>
  <w:style w:type="paragraph" w:customStyle="1" w:styleId="16">
    <w:name w:val="主题词"/>
    <w:basedOn w:val="1"/>
    <w:qFormat/>
    <w:uiPriority w:val="0"/>
    <w:pPr>
      <w:ind w:left="1246" w:hanging="1246"/>
    </w:pPr>
    <w:rPr>
      <w:rFonts w:eastAsia="公文小标宋简"/>
    </w:rPr>
  </w:style>
  <w:style w:type="paragraph" w:customStyle="1" w:styleId="17">
    <w:name w:val="秘密紧急"/>
    <w:basedOn w:val="1"/>
    <w:qFormat/>
    <w:uiPriority w:val="0"/>
    <w:pPr>
      <w:jc w:val="right"/>
    </w:pPr>
    <w:rPr>
      <w:rFonts w:ascii="黑体" w:hAnsi="Times New Roman" w:eastAsia="黑体"/>
      <w:sz w:val="32"/>
      <w:szCs w:val="20"/>
    </w:rPr>
  </w:style>
  <w:style w:type="paragraph" w:customStyle="1" w:styleId="18">
    <w:name w:val="抄 送"/>
    <w:basedOn w:val="16"/>
    <w:qFormat/>
    <w:uiPriority w:val="0"/>
    <w:rPr>
      <w:rFonts w:ascii="Times New Roman" w:hAnsi="Times New Roman" w:eastAsia="仿宋_GB2312"/>
      <w:sz w:val="32"/>
      <w:szCs w:val="20"/>
    </w:rPr>
  </w:style>
  <w:style w:type="character" w:customStyle="1" w:styleId="19">
    <w:name w:val="页脚 字符"/>
    <w:link w:val="7"/>
    <w:qFormat/>
    <w:uiPriority w:val="0"/>
    <w:rPr>
      <w:rFonts w:ascii="Calibri" w:hAnsi="Calibri" w:eastAsia="宋体" w:cs="Times New Roman"/>
      <w:kern w:val="0"/>
      <w:sz w:val="18"/>
      <w:szCs w:val="18"/>
    </w:rPr>
  </w:style>
  <w:style w:type="character" w:customStyle="1" w:styleId="20">
    <w:name w:val="页眉 字符"/>
    <w:link w:val="8"/>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kylin\C:\home\kylin\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云南省财政厅</Company>
  <Pages>1</Pages>
  <Words>0</Words>
  <Characters>0</Characters>
  <Lines>0</Lines>
  <Paragraphs>0</Paragraphs>
  <TotalTime>0</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2026-01-17T01:02:00Z</dcterms:created>
  <dc:creator>Lenovo</dc:creator>
  <cp:lastModifiedBy>陆静</cp:lastModifiedBy>
  <cp:lastPrinted>2026-02-26T03:31:00Z</cp:lastPrinted>
  <dcterms:modified xsi:type="dcterms:W3CDTF">2026-02-27T02:21:54Z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