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beforeAutospacing="0" w:afterAutospacing="0" w:line="590" w:lineRule="exact"/>
        <w:jc w:val="center"/>
        <w:textAlignment w:val="auto"/>
        <w:rPr>
          <w:rFonts w:eastAsia="方正小标宋_GBK"/>
          <w:color w:val="auto"/>
          <w:sz w:val="44"/>
          <w:szCs w:val="44"/>
        </w:rPr>
      </w:pPr>
      <w:r>
        <w:rPr>
          <w:rFonts w:eastAsia="方正小标宋_GBK"/>
          <w:color w:val="auto"/>
          <w:sz w:val="44"/>
          <w:szCs w:val="44"/>
        </w:rPr>
        <w:t>澄江</w:t>
      </w:r>
      <w:r>
        <w:rPr>
          <w:rFonts w:hint="eastAsia" w:eastAsia="方正小标宋_GBK"/>
          <w:color w:val="auto"/>
          <w:sz w:val="44"/>
          <w:szCs w:val="44"/>
        </w:rPr>
        <w:t>市</w:t>
      </w:r>
      <w:r>
        <w:rPr>
          <w:rFonts w:eastAsia="方正小标宋_GBK"/>
          <w:color w:val="auto"/>
          <w:sz w:val="44"/>
          <w:szCs w:val="44"/>
        </w:rPr>
        <w:t>20</w:t>
      </w:r>
      <w:r>
        <w:rPr>
          <w:rFonts w:hint="eastAsia" w:eastAsia="方正小标宋_GBK"/>
          <w:color w:val="auto"/>
          <w:sz w:val="44"/>
          <w:szCs w:val="44"/>
        </w:rPr>
        <w:t>2</w:t>
      </w:r>
      <w:r>
        <w:rPr>
          <w:rFonts w:hint="eastAsia" w:eastAsia="方正小标宋_GBK"/>
          <w:color w:val="auto"/>
          <w:sz w:val="44"/>
          <w:szCs w:val="44"/>
          <w:lang w:val="en-US" w:eastAsia="zh-CN"/>
        </w:rPr>
        <w:t>6</w:t>
      </w:r>
      <w:r>
        <w:rPr>
          <w:rFonts w:eastAsia="方正小标宋_GBK"/>
          <w:color w:val="auto"/>
          <w:sz w:val="44"/>
          <w:szCs w:val="44"/>
        </w:rPr>
        <w:t>年</w:t>
      </w:r>
      <w:r>
        <w:rPr>
          <w:rFonts w:hint="eastAsia" w:eastAsia="方正小标宋_GBK"/>
          <w:color w:val="auto"/>
          <w:sz w:val="44"/>
          <w:szCs w:val="44"/>
          <w:lang w:val="en-US" w:eastAsia="zh-CN"/>
        </w:rPr>
        <w:t>政府</w:t>
      </w:r>
      <w:r>
        <w:rPr>
          <w:rFonts w:eastAsia="方正小标宋_GBK"/>
          <w:color w:val="auto"/>
          <w:sz w:val="44"/>
          <w:szCs w:val="44"/>
        </w:rPr>
        <w:t>预算公开说明</w:t>
      </w:r>
    </w:p>
    <w:p>
      <w:pPr>
        <w:pStyle w:val="6"/>
        <w:keepNext w:val="0"/>
        <w:keepLines w:val="0"/>
        <w:pageBreakBefore w:val="0"/>
        <w:widowControl w:val="0"/>
        <w:kinsoku/>
        <w:wordWrap/>
        <w:overflowPunct/>
        <w:topLinePunct w:val="0"/>
        <w:autoSpaceDE w:val="0"/>
        <w:autoSpaceDN/>
        <w:bidi w:val="0"/>
        <w:adjustRightInd/>
        <w:snapToGrid/>
        <w:spacing w:beforeAutospacing="0" w:afterAutospacing="0" w:line="590" w:lineRule="exact"/>
        <w:jc w:val="both"/>
        <w:textAlignment w:val="auto"/>
        <w:rPr>
          <w:color w:val="auto"/>
        </w:rPr>
      </w:pP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一、基本的情况</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（一）人员构成情况</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rPr>
        <w:t>年末，澄江</w:t>
      </w:r>
      <w:r>
        <w:rPr>
          <w:rFonts w:hint="default" w:ascii="Times New Roman" w:hAnsi="Times New Roman" w:eastAsia="方正仿宋_GBK" w:cs="Times New Roman"/>
          <w:b w:val="0"/>
          <w:bCs w:val="0"/>
          <w:color w:val="auto"/>
          <w:sz w:val="32"/>
          <w:szCs w:val="32"/>
          <w:highlight w:val="none"/>
          <w:lang w:val="en-US" w:eastAsia="zh-CN"/>
        </w:rPr>
        <w:t>市</w:t>
      </w:r>
      <w:r>
        <w:rPr>
          <w:rFonts w:hint="default" w:ascii="Times New Roman" w:hAnsi="Times New Roman" w:eastAsia="方正仿宋_GBK" w:cs="Times New Roman"/>
          <w:b w:val="0"/>
          <w:bCs w:val="0"/>
          <w:color w:val="auto"/>
          <w:sz w:val="32"/>
          <w:szCs w:val="32"/>
          <w:highlight w:val="none"/>
        </w:rPr>
        <w:t>财政供养人员</w:t>
      </w:r>
      <w:r>
        <w:rPr>
          <w:rFonts w:hint="default" w:ascii="Times New Roman" w:hAnsi="Times New Roman" w:eastAsia="方正仿宋_GBK" w:cs="Times New Roman"/>
          <w:b w:val="0"/>
          <w:bCs w:val="0"/>
          <w:color w:val="auto"/>
          <w:sz w:val="32"/>
          <w:szCs w:val="32"/>
          <w:highlight w:val="none"/>
          <w:lang w:val="en-US" w:eastAsia="zh-CN"/>
        </w:rPr>
        <w:t>7,492</w:t>
      </w:r>
      <w:r>
        <w:rPr>
          <w:rFonts w:hint="default" w:ascii="Times New Roman" w:hAnsi="Times New Roman" w:eastAsia="方正仿宋_GBK" w:cs="Times New Roman"/>
          <w:b w:val="0"/>
          <w:bCs w:val="0"/>
          <w:color w:val="auto"/>
          <w:sz w:val="32"/>
          <w:szCs w:val="32"/>
          <w:highlight w:val="none"/>
        </w:rPr>
        <w:t>人，其中：在职</w:t>
      </w:r>
      <w:r>
        <w:rPr>
          <w:rFonts w:hint="default" w:ascii="Times New Roman" w:hAnsi="Times New Roman" w:eastAsia="方正仿宋_GBK" w:cs="Times New Roman"/>
          <w:b w:val="0"/>
          <w:bCs w:val="0"/>
          <w:color w:val="auto"/>
          <w:sz w:val="32"/>
          <w:szCs w:val="32"/>
          <w:highlight w:val="none"/>
          <w:lang w:val="en-US" w:eastAsia="zh-CN"/>
        </w:rPr>
        <w:t>4,804</w:t>
      </w:r>
      <w:r>
        <w:rPr>
          <w:rFonts w:hint="default" w:ascii="Times New Roman" w:hAnsi="Times New Roman" w:eastAsia="方正仿宋_GBK" w:cs="Times New Roman"/>
          <w:b w:val="0"/>
          <w:bCs w:val="0"/>
          <w:color w:val="auto"/>
          <w:sz w:val="32"/>
          <w:szCs w:val="32"/>
          <w:highlight w:val="none"/>
        </w:rPr>
        <w:t>人，退休</w:t>
      </w:r>
      <w:r>
        <w:rPr>
          <w:rFonts w:hint="default" w:ascii="Times New Roman" w:hAnsi="Times New Roman" w:eastAsia="方正仿宋_GBK" w:cs="Times New Roman"/>
          <w:b w:val="0"/>
          <w:bCs w:val="0"/>
          <w:color w:val="auto"/>
          <w:sz w:val="32"/>
          <w:szCs w:val="32"/>
          <w:highlight w:val="none"/>
          <w:lang w:val="en-US" w:eastAsia="zh-CN"/>
        </w:rPr>
        <w:t>2,681</w:t>
      </w:r>
      <w:r>
        <w:rPr>
          <w:rFonts w:hint="default" w:ascii="Times New Roman" w:hAnsi="Times New Roman" w:eastAsia="方正仿宋_GBK" w:cs="Times New Roman"/>
          <w:b w:val="0"/>
          <w:bCs w:val="0"/>
          <w:color w:val="auto"/>
          <w:sz w:val="32"/>
          <w:szCs w:val="32"/>
          <w:highlight w:val="none"/>
        </w:rPr>
        <w:t>人，离休</w:t>
      </w:r>
      <w:r>
        <w:rPr>
          <w:rFonts w:hint="default" w:ascii="Times New Roman" w:hAnsi="Times New Roman" w:eastAsia="方正仿宋_GBK" w:cs="Times New Roman"/>
          <w:b w:val="0"/>
          <w:bCs w:val="0"/>
          <w:color w:val="auto"/>
          <w:sz w:val="32"/>
          <w:szCs w:val="32"/>
          <w:highlight w:val="none"/>
          <w:lang w:val="en-US" w:eastAsia="zh-CN"/>
        </w:rPr>
        <w:t>7</w:t>
      </w:r>
      <w:r>
        <w:rPr>
          <w:rFonts w:hint="default" w:ascii="Times New Roman" w:hAnsi="Times New Roman" w:eastAsia="方正仿宋_GBK" w:cs="Times New Roman"/>
          <w:b w:val="0"/>
          <w:bCs w:val="0"/>
          <w:color w:val="auto"/>
          <w:sz w:val="32"/>
          <w:szCs w:val="32"/>
          <w:highlight w:val="none"/>
        </w:rPr>
        <w:t>人。</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rPr>
        <w:t>（二）公务用车配备情况</w:t>
      </w:r>
    </w:p>
    <w:p>
      <w:pPr>
        <w:keepNext w:val="0"/>
        <w:keepLines w:val="0"/>
        <w:pageBreakBefore w:val="0"/>
        <w:widowControl w:val="0"/>
        <w:kinsoku/>
        <w:wordWrap/>
        <w:overflowPunct/>
        <w:topLinePunct w:val="0"/>
        <w:autoSpaceDE w:val="0"/>
        <w:autoSpaceDN/>
        <w:bidi w:val="0"/>
        <w:spacing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全</w:t>
      </w:r>
      <w:r>
        <w:rPr>
          <w:rFonts w:hint="default" w:ascii="Times New Roman" w:hAnsi="Times New Roman" w:eastAsia="方正仿宋_GBK" w:cs="Times New Roman"/>
          <w:b w:val="0"/>
          <w:bCs w:val="0"/>
          <w:color w:val="auto"/>
          <w:sz w:val="32"/>
          <w:szCs w:val="32"/>
          <w:highlight w:val="none"/>
          <w:lang w:val="en-US" w:eastAsia="zh-CN"/>
        </w:rPr>
        <w:t>市</w:t>
      </w:r>
      <w:r>
        <w:rPr>
          <w:rFonts w:hint="default" w:ascii="Times New Roman" w:hAnsi="Times New Roman" w:eastAsia="方正仿宋_GBK" w:cs="Times New Roman"/>
          <w:b w:val="0"/>
          <w:bCs w:val="0"/>
          <w:color w:val="auto"/>
          <w:sz w:val="32"/>
          <w:szCs w:val="32"/>
          <w:highlight w:val="none"/>
        </w:rPr>
        <w:t>财政供养公务用车</w:t>
      </w:r>
      <w:r>
        <w:rPr>
          <w:rFonts w:hint="default" w:ascii="Times New Roman" w:hAnsi="Times New Roman" w:eastAsia="方正仿宋_GBK" w:cs="Times New Roman"/>
          <w:b w:val="0"/>
          <w:bCs w:val="0"/>
          <w:color w:val="auto"/>
          <w:sz w:val="32"/>
          <w:szCs w:val="32"/>
          <w:highlight w:val="none"/>
          <w:lang w:val="en-US" w:eastAsia="zh-CN"/>
        </w:rPr>
        <w:t>54</w:t>
      </w:r>
      <w:r>
        <w:rPr>
          <w:rFonts w:hint="default" w:ascii="Times New Roman" w:hAnsi="Times New Roman" w:eastAsia="方正仿宋_GBK" w:cs="Times New Roman"/>
          <w:b w:val="0"/>
          <w:bCs w:val="0"/>
          <w:color w:val="auto"/>
          <w:sz w:val="32"/>
          <w:szCs w:val="32"/>
          <w:highlight w:val="none"/>
        </w:rPr>
        <w:t>辆，其中：一般公务用车</w:t>
      </w:r>
      <w:r>
        <w:rPr>
          <w:rFonts w:hint="default" w:ascii="Times New Roman" w:hAnsi="Times New Roman" w:eastAsia="方正仿宋_GBK" w:cs="Times New Roman"/>
          <w:b w:val="0"/>
          <w:bCs w:val="0"/>
          <w:color w:val="auto"/>
          <w:sz w:val="32"/>
          <w:szCs w:val="32"/>
          <w:highlight w:val="none"/>
          <w:lang w:val="en-US" w:eastAsia="zh-CN"/>
        </w:rPr>
        <w:t>39</w:t>
      </w:r>
      <w:r>
        <w:rPr>
          <w:rFonts w:hint="default" w:ascii="Times New Roman" w:hAnsi="Times New Roman" w:eastAsia="方正仿宋_GBK" w:cs="Times New Roman"/>
          <w:b w:val="0"/>
          <w:bCs w:val="0"/>
          <w:color w:val="auto"/>
          <w:sz w:val="32"/>
          <w:szCs w:val="32"/>
          <w:highlight w:val="none"/>
        </w:rPr>
        <w:t>辆</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执法执勤用车15辆。（不含机关事务管理局保留车辆）</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二、20</w:t>
      </w:r>
      <w:r>
        <w:rPr>
          <w:rFonts w:hint="default" w:ascii="方正黑体_GBK" w:hAnsi="方正黑体_GBK" w:eastAsia="方正黑体_GBK" w:cs="方正黑体_GBK"/>
          <w:b w:val="0"/>
          <w:bCs w:val="0"/>
          <w:color w:val="auto"/>
          <w:sz w:val="32"/>
          <w:szCs w:val="32"/>
          <w:lang w:val="en-US" w:eastAsia="zh-CN"/>
        </w:rPr>
        <w:t>25</w:t>
      </w:r>
      <w:r>
        <w:rPr>
          <w:rFonts w:hint="default" w:ascii="方正黑体_GBK" w:hAnsi="方正黑体_GBK" w:eastAsia="方正黑体_GBK" w:cs="方正黑体_GBK"/>
          <w:b w:val="0"/>
          <w:bCs w:val="0"/>
          <w:color w:val="auto"/>
          <w:sz w:val="32"/>
          <w:szCs w:val="32"/>
        </w:rPr>
        <w:t>年财政收支完成情况</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方正楷体_GBK" w:hAnsi="方正楷体_GBK" w:eastAsia="方正楷体_GBK" w:cs="方正楷体_GBK"/>
          <w:b w:val="0"/>
          <w:bCs w:val="0"/>
          <w:color w:val="auto"/>
          <w:sz w:val="32"/>
          <w:szCs w:val="32"/>
          <w:highlight w:val="none"/>
        </w:rPr>
        <w:t>（一）一般公共预算执行情况</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rPr>
        <w:t>一般公共预算收入完成</w:t>
      </w:r>
      <w:r>
        <w:rPr>
          <w:rFonts w:hint="default" w:ascii="Times New Roman" w:hAnsi="Times New Roman" w:eastAsia="方正仿宋_GBK" w:cs="Times New Roman"/>
          <w:b w:val="0"/>
          <w:bCs w:val="0"/>
          <w:color w:val="auto"/>
          <w:kern w:val="2"/>
          <w:sz w:val="32"/>
          <w:szCs w:val="32"/>
          <w:highlight w:val="none"/>
          <w:u w:val="none"/>
          <w:lang w:val="en-US" w:eastAsia="zh-CN" w:bidi="ar-SA"/>
        </w:rPr>
        <w:t>78,462万元，同比增长0.30%，完成年初预算数的99.31%，完成预算调整数的97.81%；一般公共预算支出</w:t>
      </w:r>
      <w:r>
        <w:rPr>
          <w:rFonts w:hint="default" w:ascii="Times New Roman" w:hAnsi="Times New Roman" w:eastAsia="方正仿宋_GBK" w:cs="Times New Roman"/>
          <w:b w:val="0"/>
          <w:bCs w:val="0"/>
          <w:color w:val="auto"/>
          <w:sz w:val="32"/>
          <w:szCs w:val="32"/>
          <w:highlight w:val="none"/>
          <w:lang w:val="en-US" w:eastAsia="zh-CN"/>
        </w:rPr>
        <w:t>完成225,149万元，同比增长3.08%，完成年初预算数的100.07%，完成预算调整数的99.98%。</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方正楷体_GBK" w:hAnsi="方正楷体_GBK" w:eastAsia="方正楷体_GBK" w:cs="方正楷体_GBK"/>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rPr>
        <w:t>（二）政府性基金预算执行情况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政府性基金预算收入完成39,223万元，同比下降45.27%，完成年初预算数的25.36%，完成预算调整数的83.03%；政府性基金预算支出完成202,577万元，同比下降39.96%，完成年初预算数的142.84%，完成预算调整数的115.22%。</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方正楷体_GBK" w:hAnsi="方正楷体_GBK" w:eastAsia="方正楷体_GBK" w:cs="方正楷体_GBK"/>
          <w:b w:val="0"/>
          <w:bCs w:val="0"/>
          <w:color w:val="auto"/>
          <w:sz w:val="32"/>
          <w:szCs w:val="32"/>
          <w:highlight w:val="none"/>
        </w:rPr>
        <w:t>（三）社会保险基金预算执行情况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rPr>
        <w:t>社会保险基金预算收入</w:t>
      </w:r>
      <w:r>
        <w:rPr>
          <w:rFonts w:hint="default" w:ascii="Times New Roman" w:hAnsi="Times New Roman" w:eastAsia="方正仿宋_GBK" w:cs="Times New Roman"/>
          <w:b w:val="0"/>
          <w:bCs w:val="0"/>
          <w:color w:val="auto"/>
          <w:sz w:val="32"/>
          <w:szCs w:val="32"/>
          <w:highlight w:val="none"/>
          <w:lang w:val="en-US" w:eastAsia="zh-CN"/>
        </w:rPr>
        <w:t>完成91,198万元，同比增长9.37%，完成年初预算数的102.49%，完成预算调整数的102.58%；</w:t>
      </w:r>
      <w:r>
        <w:rPr>
          <w:rFonts w:hint="default" w:ascii="Times New Roman" w:hAnsi="Times New Roman" w:eastAsia="方正仿宋_GBK" w:cs="Times New Roman"/>
          <w:b w:val="0"/>
          <w:bCs w:val="0"/>
          <w:color w:val="auto"/>
          <w:sz w:val="32"/>
          <w:szCs w:val="32"/>
          <w:highlight w:val="none"/>
          <w:lang w:eastAsia="zh-CN"/>
        </w:rPr>
        <w:t>社会保险基金预算支出</w:t>
      </w:r>
      <w:r>
        <w:rPr>
          <w:rFonts w:hint="default" w:ascii="Times New Roman" w:hAnsi="Times New Roman" w:eastAsia="方正仿宋_GBK" w:cs="Times New Roman"/>
          <w:b w:val="0"/>
          <w:bCs w:val="0"/>
          <w:color w:val="auto"/>
          <w:sz w:val="32"/>
          <w:szCs w:val="32"/>
          <w:highlight w:val="none"/>
          <w:lang w:val="en-US" w:eastAsia="zh-CN"/>
        </w:rPr>
        <w:t>完成78,714万元，同比增长2.13%，完成年初预算数的93.82%，完成预算调整数的93.48%。</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（四）国有资本经营预算执行情况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国有资本经营预算收入完成1,598万元，同比下降87.98%，</w:t>
      </w:r>
      <w:r>
        <w:rPr>
          <w:rFonts w:hint="default" w:ascii="Times New Roman" w:hAnsi="Times New Roman" w:eastAsia="方正仿宋_GBK" w:cs="Times New Roman"/>
          <w:b w:val="0"/>
          <w:bCs w:val="0"/>
          <w:color w:val="auto"/>
          <w:sz w:val="32"/>
          <w:szCs w:val="32"/>
          <w:highlight w:val="none"/>
          <w:lang w:eastAsia="zh-CN"/>
        </w:rPr>
        <w:t>完成年初预算数的</w:t>
      </w:r>
      <w:r>
        <w:rPr>
          <w:rFonts w:hint="default" w:ascii="Times New Roman" w:hAnsi="Times New Roman" w:eastAsia="方正仿宋_GBK" w:cs="Times New Roman"/>
          <w:b w:val="0"/>
          <w:bCs w:val="0"/>
          <w:color w:val="auto"/>
          <w:sz w:val="32"/>
          <w:szCs w:val="32"/>
          <w:highlight w:val="none"/>
          <w:lang w:val="en-US" w:eastAsia="zh-CN"/>
        </w:rPr>
        <w:t>27.48</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完成预算调整数的88.04%；</w:t>
      </w:r>
      <w:r>
        <w:rPr>
          <w:rFonts w:hint="default" w:ascii="Times New Roman" w:hAnsi="Times New Roman" w:eastAsia="方正仿宋_GBK" w:cs="Times New Roman"/>
          <w:b w:val="0"/>
          <w:bCs w:val="0"/>
          <w:color w:val="auto"/>
          <w:sz w:val="32"/>
          <w:szCs w:val="32"/>
          <w:highlight w:val="none"/>
        </w:rPr>
        <w:t>国有资本经营预算支出</w:t>
      </w:r>
      <w:r>
        <w:rPr>
          <w:rFonts w:hint="default" w:ascii="Times New Roman" w:hAnsi="Times New Roman" w:eastAsia="方正仿宋_GBK" w:cs="Times New Roman"/>
          <w:b w:val="0"/>
          <w:bCs w:val="0"/>
          <w:color w:val="auto"/>
          <w:sz w:val="32"/>
          <w:szCs w:val="32"/>
          <w:highlight w:val="none"/>
          <w:lang w:val="en-US" w:eastAsia="zh-CN"/>
        </w:rPr>
        <w:t>完成2万元，同比下降71.43%，完成年初预算数的10.53%，完成预算调整数的10.53%。</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rPr>
        <w:t>三、202</w:t>
      </w:r>
      <w:r>
        <w:rPr>
          <w:rFonts w:hint="default" w:ascii="方正黑体_GBK" w:hAnsi="方正黑体_GBK" w:eastAsia="方正黑体_GBK" w:cs="方正黑体_GBK"/>
          <w:b w:val="0"/>
          <w:bCs w:val="0"/>
          <w:color w:val="auto"/>
          <w:sz w:val="32"/>
          <w:szCs w:val="32"/>
          <w:lang w:val="en-US" w:eastAsia="zh-CN"/>
        </w:rPr>
        <w:t>6</w:t>
      </w:r>
      <w:r>
        <w:rPr>
          <w:rFonts w:hint="default" w:ascii="方正黑体_GBK" w:hAnsi="方正黑体_GBK" w:eastAsia="方正黑体_GBK" w:cs="方正黑体_GBK"/>
          <w:b w:val="0"/>
          <w:bCs w:val="0"/>
          <w:color w:val="auto"/>
          <w:sz w:val="32"/>
          <w:szCs w:val="32"/>
        </w:rPr>
        <w:t>年财政收支预算情况</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90" w:lineRule="exact"/>
        <w:ind w:left="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val="en-US" w:eastAsia="zh-CN"/>
        </w:rPr>
        <w:t>（一）一般公共预算安排</w:t>
      </w:r>
      <w:r>
        <w:rPr>
          <w:rFonts w:hint="default" w:ascii="Times New Roman" w:hAnsi="Times New Roman" w:eastAsia="方正仿宋_GBK" w:cs="Times New Roman"/>
          <w:b w:val="0"/>
          <w:bCs w:val="0"/>
          <w:color w:val="auto"/>
          <w:kern w:val="2"/>
          <w:sz w:val="32"/>
          <w:szCs w:val="32"/>
          <w:highlight w:val="none"/>
          <w:lang w:val="en-US" w:eastAsia="zh-CN" w:bidi="ar"/>
        </w:rPr>
        <w:t>：</w:t>
      </w:r>
      <w:r>
        <w:rPr>
          <w:rFonts w:hint="default" w:ascii="Times New Roman" w:hAnsi="Times New Roman" w:eastAsia="方正仿宋_GBK" w:cs="Times New Roman"/>
          <w:b w:val="0"/>
          <w:bCs w:val="0"/>
          <w:color w:val="auto"/>
          <w:sz w:val="32"/>
          <w:szCs w:val="32"/>
          <w:highlight w:val="none"/>
          <w:lang w:val="en-US" w:eastAsia="zh-CN"/>
        </w:rPr>
        <w:t>2026年一般公共预算收入安排79,247万元，同比增长1%，其中：税收收入安排47,527万元，同比增长25.76%；非税收入安排31,720万元，同比下降22.01%。一般公共预算支出安排227,401万元，同比增长1.00%。</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right="-44" w:rightChars="-21"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方正楷体_GBK" w:hAnsi="方正楷体_GBK" w:eastAsia="方正楷体_GBK" w:cs="方正楷体_GBK"/>
          <w:b w:val="0"/>
          <w:bCs w:val="0"/>
          <w:color w:val="auto"/>
          <w:sz w:val="32"/>
          <w:szCs w:val="32"/>
          <w:highlight w:val="none"/>
          <w:lang w:val="en-US" w:eastAsia="zh-CN"/>
        </w:rPr>
        <w:t>（二）政府性基金预算安排</w:t>
      </w:r>
      <w:r>
        <w:rPr>
          <w:rFonts w:hint="default" w:ascii="Times New Roman" w:hAnsi="Times New Roman" w:eastAsia="方正仿宋_GBK" w:cs="Times New Roman"/>
          <w:b w:val="0"/>
          <w:bCs w:val="0"/>
          <w:color w:val="auto"/>
          <w:kern w:val="2"/>
          <w:sz w:val="32"/>
          <w:szCs w:val="32"/>
          <w:highlight w:val="none"/>
          <w:lang w:val="en-US" w:eastAsia="zh-CN" w:bidi="ar"/>
        </w:rPr>
        <w:t>：</w:t>
      </w:r>
      <w:r>
        <w:rPr>
          <w:rFonts w:hint="default" w:ascii="Times New Roman" w:hAnsi="Times New Roman" w:eastAsia="方正仿宋_GBK" w:cs="Times New Roman"/>
          <w:b w:val="0"/>
          <w:bCs w:val="0"/>
          <w:color w:val="auto"/>
          <w:sz w:val="32"/>
          <w:szCs w:val="32"/>
          <w:highlight w:val="none"/>
          <w:lang w:val="en-US" w:eastAsia="zh-CN"/>
        </w:rPr>
        <w:t>2026年</w:t>
      </w:r>
      <w:r>
        <w:rPr>
          <w:rFonts w:hint="default" w:ascii="Times New Roman" w:hAnsi="Times New Roman" w:eastAsia="方正仿宋_GBK" w:cs="Times New Roman"/>
          <w:b w:val="0"/>
          <w:bCs w:val="0"/>
          <w:color w:val="auto"/>
          <w:sz w:val="32"/>
          <w:szCs w:val="32"/>
          <w:highlight w:val="none"/>
        </w:rPr>
        <w:t>政府性基金预算收入</w:t>
      </w:r>
      <w:r>
        <w:rPr>
          <w:rFonts w:hint="default" w:ascii="Times New Roman" w:hAnsi="Times New Roman" w:eastAsia="方正仿宋_GBK" w:cs="Times New Roman"/>
          <w:b w:val="0"/>
          <w:bCs w:val="0"/>
          <w:color w:val="auto"/>
          <w:sz w:val="32"/>
          <w:szCs w:val="32"/>
          <w:highlight w:val="none"/>
          <w:lang w:eastAsia="zh-CN"/>
        </w:rPr>
        <w:t>安排</w:t>
      </w:r>
      <w:r>
        <w:rPr>
          <w:rFonts w:hint="default" w:ascii="Times New Roman" w:hAnsi="Times New Roman" w:eastAsia="方正仿宋_GBK" w:cs="Times New Roman"/>
          <w:b w:val="0"/>
          <w:bCs w:val="0"/>
          <w:color w:val="auto"/>
          <w:sz w:val="32"/>
          <w:szCs w:val="32"/>
          <w:highlight w:val="none"/>
          <w:lang w:val="en-US" w:eastAsia="zh-CN"/>
        </w:rPr>
        <w:t>173,991万</w:t>
      </w:r>
      <w:r>
        <w:rPr>
          <w:rFonts w:hint="default" w:ascii="Times New Roman" w:hAnsi="Times New Roman" w:eastAsia="方正仿宋_GBK" w:cs="Times New Roman"/>
          <w:b w:val="0"/>
          <w:bCs w:val="0"/>
          <w:color w:val="auto"/>
          <w:sz w:val="32"/>
          <w:szCs w:val="32"/>
          <w:highlight w:val="none"/>
        </w:rPr>
        <w:t>元，</w:t>
      </w:r>
      <w:r>
        <w:rPr>
          <w:rFonts w:hint="default" w:ascii="Times New Roman" w:hAnsi="Times New Roman" w:eastAsia="方正仿宋_GBK" w:cs="Times New Roman"/>
          <w:b w:val="0"/>
          <w:bCs w:val="0"/>
          <w:color w:val="auto"/>
          <w:sz w:val="32"/>
          <w:szCs w:val="32"/>
          <w:highlight w:val="none"/>
          <w:lang w:eastAsia="zh-CN"/>
        </w:rPr>
        <w:t>同比</w:t>
      </w:r>
      <w:r>
        <w:rPr>
          <w:rFonts w:hint="default" w:ascii="Times New Roman" w:hAnsi="Times New Roman" w:eastAsia="方正仿宋_GBK" w:cs="Times New Roman"/>
          <w:b w:val="0"/>
          <w:bCs w:val="0"/>
          <w:color w:val="auto"/>
          <w:sz w:val="32"/>
          <w:szCs w:val="32"/>
          <w:highlight w:val="none"/>
        </w:rPr>
        <w:t>增长</w:t>
      </w:r>
      <w:r>
        <w:rPr>
          <w:rFonts w:hint="default" w:ascii="Times New Roman" w:hAnsi="Times New Roman" w:eastAsia="方正仿宋_GBK" w:cs="Times New Roman"/>
          <w:b w:val="0"/>
          <w:bCs w:val="0"/>
          <w:color w:val="auto"/>
          <w:sz w:val="32"/>
          <w:szCs w:val="32"/>
          <w:highlight w:val="none"/>
          <w:lang w:val="en-US" w:eastAsia="zh-CN"/>
        </w:rPr>
        <w:t>343.59%</w:t>
      </w:r>
      <w:r>
        <w:rPr>
          <w:rFonts w:hint="default" w:ascii="Times New Roman" w:hAnsi="Times New Roman" w:eastAsia="方正仿宋_GBK" w:cs="Times New Roman"/>
          <w:b w:val="0"/>
          <w:bCs w:val="0"/>
          <w:color w:val="auto"/>
          <w:sz w:val="32"/>
          <w:szCs w:val="32"/>
          <w:highlight w:val="none"/>
        </w:rPr>
        <w:t>，其中：</w:t>
      </w:r>
      <w:r>
        <w:rPr>
          <w:rFonts w:hint="default" w:ascii="Times New Roman" w:hAnsi="Times New Roman" w:eastAsia="方正仿宋_GBK" w:cs="Times New Roman"/>
          <w:b w:val="0"/>
          <w:bCs w:val="0"/>
          <w:color w:val="auto"/>
          <w:sz w:val="32"/>
          <w:szCs w:val="32"/>
          <w:highlight w:val="none"/>
          <w:lang w:eastAsia="zh-CN"/>
        </w:rPr>
        <w:t>土地出让收入</w:t>
      </w:r>
      <w:r>
        <w:rPr>
          <w:rFonts w:hint="default" w:ascii="Times New Roman" w:hAnsi="Times New Roman" w:eastAsia="方正仿宋_GBK" w:cs="Times New Roman"/>
          <w:b w:val="0"/>
          <w:bCs w:val="0"/>
          <w:color w:val="auto"/>
          <w:sz w:val="32"/>
          <w:szCs w:val="32"/>
          <w:highlight w:val="none"/>
          <w:lang w:val="en-US" w:eastAsia="zh-CN"/>
        </w:rPr>
        <w:t>147,291万</w:t>
      </w:r>
      <w:r>
        <w:rPr>
          <w:rFonts w:hint="default" w:ascii="Times New Roman" w:hAnsi="Times New Roman" w:eastAsia="方正仿宋_GBK" w:cs="Times New Roman"/>
          <w:b w:val="0"/>
          <w:bCs w:val="0"/>
          <w:color w:val="auto"/>
          <w:sz w:val="32"/>
          <w:szCs w:val="32"/>
          <w:highlight w:val="none"/>
          <w:lang w:eastAsia="zh-CN"/>
        </w:rPr>
        <w:t>元，其他政府性基金预算收入</w:t>
      </w:r>
      <w:r>
        <w:rPr>
          <w:rFonts w:hint="default" w:ascii="Times New Roman" w:hAnsi="Times New Roman" w:eastAsia="方正仿宋_GBK" w:cs="Times New Roman"/>
          <w:b w:val="0"/>
          <w:bCs w:val="0"/>
          <w:color w:val="auto"/>
          <w:sz w:val="32"/>
          <w:szCs w:val="32"/>
          <w:highlight w:val="none"/>
          <w:lang w:val="en-US" w:eastAsia="zh-CN"/>
        </w:rPr>
        <w:t>26,700</w:t>
      </w:r>
      <w:r>
        <w:rPr>
          <w:rFonts w:hint="default" w:ascii="Times New Roman" w:hAnsi="Times New Roman" w:eastAsia="方正仿宋_GBK" w:cs="Times New Roman"/>
          <w:b w:val="0"/>
          <w:bCs w:val="0"/>
          <w:color w:val="auto"/>
          <w:sz w:val="32"/>
          <w:szCs w:val="32"/>
          <w:highlight w:val="none"/>
          <w:lang w:eastAsia="zh-CN"/>
        </w:rPr>
        <w:t>万元。</w:t>
      </w:r>
      <w:r>
        <w:rPr>
          <w:rFonts w:hint="default" w:ascii="Times New Roman" w:hAnsi="Times New Roman" w:eastAsia="方正仿宋_GBK" w:cs="Times New Roman"/>
          <w:b w:val="0"/>
          <w:bCs w:val="0"/>
          <w:color w:val="auto"/>
          <w:sz w:val="32"/>
          <w:szCs w:val="32"/>
          <w:highlight w:val="none"/>
        </w:rPr>
        <w:t>政府性基金预算支出</w:t>
      </w:r>
      <w:r>
        <w:rPr>
          <w:rFonts w:hint="default" w:ascii="Times New Roman" w:hAnsi="Times New Roman" w:eastAsia="方正仿宋_GBK" w:cs="Times New Roman"/>
          <w:b w:val="0"/>
          <w:bCs w:val="0"/>
          <w:color w:val="auto"/>
          <w:sz w:val="32"/>
          <w:szCs w:val="32"/>
          <w:highlight w:val="none"/>
          <w:lang w:val="en-US" w:eastAsia="zh-CN"/>
        </w:rPr>
        <w:t>安排67,315万</w:t>
      </w:r>
      <w:r>
        <w:rPr>
          <w:rFonts w:hint="default" w:ascii="Times New Roman" w:hAnsi="Times New Roman" w:eastAsia="方正仿宋_GBK" w:cs="Times New Roman"/>
          <w:b w:val="0"/>
          <w:bCs w:val="0"/>
          <w:color w:val="auto"/>
          <w:sz w:val="32"/>
          <w:szCs w:val="32"/>
          <w:highlight w:val="none"/>
        </w:rPr>
        <w:t>元，同比</w:t>
      </w:r>
      <w:r>
        <w:rPr>
          <w:rFonts w:hint="default" w:ascii="Times New Roman" w:hAnsi="Times New Roman" w:eastAsia="方正仿宋_GBK" w:cs="Times New Roman"/>
          <w:b w:val="0"/>
          <w:bCs w:val="0"/>
          <w:color w:val="auto"/>
          <w:sz w:val="32"/>
          <w:szCs w:val="32"/>
          <w:highlight w:val="none"/>
          <w:lang w:eastAsia="zh-CN"/>
        </w:rPr>
        <w:t>下降</w:t>
      </w:r>
      <w:r>
        <w:rPr>
          <w:rFonts w:hint="default" w:ascii="Times New Roman" w:hAnsi="Times New Roman" w:eastAsia="方正仿宋_GBK" w:cs="Times New Roman"/>
          <w:b w:val="0"/>
          <w:bCs w:val="0"/>
          <w:color w:val="auto"/>
          <w:sz w:val="32"/>
          <w:szCs w:val="32"/>
          <w:highlight w:val="none"/>
          <w:lang w:val="en-US" w:eastAsia="zh-CN"/>
        </w:rPr>
        <w:t>66.77%</w:t>
      </w:r>
      <w:r>
        <w:rPr>
          <w:rFonts w:hint="default"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val="0"/>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方正楷体_GBK" w:hAnsi="方正楷体_GBK" w:eastAsia="方正楷体_GBK" w:cs="方正楷体_GBK"/>
          <w:b w:val="0"/>
          <w:bCs w:val="0"/>
          <w:color w:val="auto"/>
          <w:sz w:val="32"/>
          <w:szCs w:val="32"/>
          <w:highlight w:val="none"/>
          <w:lang w:val="en-US" w:eastAsia="zh-CN"/>
        </w:rPr>
        <w:t>（三）社会保险基金预算安排</w:t>
      </w:r>
      <w:r>
        <w:rPr>
          <w:rFonts w:hint="default" w:ascii="Times New Roman" w:hAnsi="Times New Roman" w:eastAsia="方正仿宋_GBK" w:cs="Times New Roman"/>
          <w:b w:val="0"/>
          <w:bCs w:val="0"/>
          <w:color w:val="auto"/>
          <w:kern w:val="2"/>
          <w:sz w:val="32"/>
          <w:szCs w:val="32"/>
          <w:highlight w:val="none"/>
          <w:lang w:val="en-US" w:eastAsia="zh-CN" w:bidi="ar"/>
        </w:rPr>
        <w:t>：</w:t>
      </w:r>
      <w:r>
        <w:rPr>
          <w:rFonts w:hint="default" w:ascii="Times New Roman" w:hAnsi="Times New Roman" w:eastAsia="方正仿宋_GBK" w:cs="Times New Roman"/>
          <w:b w:val="0"/>
          <w:bCs w:val="0"/>
          <w:color w:val="auto"/>
          <w:sz w:val="32"/>
          <w:szCs w:val="32"/>
          <w:highlight w:val="none"/>
          <w:lang w:val="en-US" w:eastAsia="zh-CN"/>
        </w:rPr>
        <w:t>2026年社会保险基金预算收入安排21,223万元，同比下降5.96%，社会保险基金预算支出20,179万元，同比下降0.96%。</w:t>
      </w:r>
    </w:p>
    <w:p>
      <w:pPr>
        <w:keepNext w:val="0"/>
        <w:keepLines w:val="0"/>
        <w:pageBreakBefore w:val="0"/>
        <w:widowControl w:val="0"/>
        <w:kinsoku/>
        <w:wordWrap/>
        <w:overflowPunct/>
        <w:topLinePunct w:val="0"/>
        <w:autoSpaceDE w:val="0"/>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方正楷体_GBK" w:hAnsi="方正楷体_GBK" w:eastAsia="方正楷体_GBK" w:cs="方正楷体_GBK"/>
          <w:b w:val="0"/>
          <w:bCs w:val="0"/>
          <w:color w:val="auto"/>
          <w:sz w:val="32"/>
          <w:szCs w:val="32"/>
          <w:highlight w:val="none"/>
          <w:lang w:val="en-US" w:eastAsia="zh-CN"/>
        </w:rPr>
        <w:t>（四）国有资本经营预算安排</w:t>
      </w:r>
      <w:r>
        <w:rPr>
          <w:rFonts w:hint="default" w:ascii="Times New Roman" w:hAnsi="Times New Roman" w:eastAsia="方正仿宋_GBK" w:cs="Times New Roman"/>
          <w:b w:val="0"/>
          <w:bCs w:val="0"/>
          <w:color w:val="auto"/>
          <w:kern w:val="2"/>
          <w:sz w:val="32"/>
          <w:szCs w:val="32"/>
          <w:highlight w:val="none"/>
          <w:lang w:val="en-US" w:eastAsia="zh-CN" w:bidi="ar"/>
        </w:rPr>
        <w:t>：</w:t>
      </w:r>
      <w:r>
        <w:rPr>
          <w:rFonts w:hint="default" w:ascii="Times New Roman" w:hAnsi="Times New Roman" w:eastAsia="方正仿宋_GBK" w:cs="Times New Roman"/>
          <w:b w:val="0"/>
          <w:bCs w:val="0"/>
          <w:color w:val="auto"/>
          <w:kern w:val="2"/>
          <w:sz w:val="32"/>
          <w:szCs w:val="32"/>
          <w:highlight w:val="none"/>
          <w:lang w:val="en-US" w:eastAsia="zh-CN" w:bidi="ar-SA"/>
        </w:rPr>
        <w:t>2026年国有资本经营预算收入安排5,000万元，同比增长212.89%；国有资本经营预算支出15万元，同比增长650.00%。</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rPr>
        <w:t>四、转移支付</w:t>
      </w:r>
      <w:r>
        <w:rPr>
          <w:rFonts w:hint="default" w:ascii="方正黑体_GBK" w:hAnsi="方正黑体_GBK" w:eastAsia="方正黑体_GBK" w:cs="方正黑体_GBK"/>
          <w:b w:val="0"/>
          <w:bCs w:val="0"/>
          <w:color w:val="auto"/>
          <w:sz w:val="32"/>
          <w:szCs w:val="32"/>
          <w:lang w:val="en-US" w:eastAsia="zh-CN"/>
        </w:rPr>
        <w:t>收入</w:t>
      </w:r>
      <w:r>
        <w:rPr>
          <w:rFonts w:hint="default" w:ascii="方正黑体_GBK" w:hAnsi="方正黑体_GBK" w:eastAsia="方正黑体_GBK" w:cs="方正黑体_GBK"/>
          <w:b w:val="0"/>
          <w:bCs w:val="0"/>
          <w:color w:val="auto"/>
          <w:sz w:val="32"/>
          <w:szCs w:val="32"/>
        </w:rPr>
        <w:t>情况</w:t>
      </w:r>
    </w:p>
    <w:p>
      <w:pPr>
        <w:keepNext w:val="0"/>
        <w:keepLines w:val="0"/>
        <w:pageBreakBefore w:val="0"/>
        <w:widowControl w:val="0"/>
        <w:kinsoku/>
        <w:wordWrap/>
        <w:overflowPunct/>
        <w:topLinePunct w:val="0"/>
        <w:autoSpaceDE w:val="0"/>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澄江市2025年转移性收入211,795万元，其中：返还性收入3,498万元（增值税税收返还收入277万元，所得税基数返还收入782万,增值税“五五分享”税收返还收入4,155万元，其他返还性收入-1,716万元）；一般性转移支付补助收入208,297万元（均衡性转移支付收入17,501万元,县级基本财力保障机制奖补资金收入6,132万元,结算补助收入9,694万元,重点生态功能区转移支付收入6,640万元,固定数额补助收入7,276万元,巩固</w:t>
      </w:r>
      <w:r>
        <w:rPr>
          <w:rFonts w:hint="eastAsia" w:eastAsia="方正仿宋_GBK" w:cs="Times New Roman"/>
          <w:b w:val="0"/>
          <w:bCs w:val="0"/>
          <w:color w:val="auto"/>
          <w:sz w:val="32"/>
          <w:szCs w:val="32"/>
          <w:lang w:val="en-US" w:eastAsia="zh-CN"/>
        </w:rPr>
        <w:t>拓展</w:t>
      </w:r>
      <w:r>
        <w:rPr>
          <w:rFonts w:hint="default" w:ascii="Times New Roman" w:hAnsi="Times New Roman" w:eastAsia="方正仿宋_GBK" w:cs="Times New Roman"/>
          <w:b w:val="0"/>
          <w:bCs w:val="0"/>
          <w:color w:val="auto"/>
          <w:sz w:val="32"/>
          <w:szCs w:val="32"/>
          <w:lang w:val="en-US" w:eastAsia="zh-CN"/>
        </w:rPr>
        <w:t>脱贫攻坚成果衔接乡村振兴转移支付收入2,369万元,公共安全共同财政事权转移支付收入1,297万元,教育共同财政事权转移支付收入6,855.00万元,文化旅游体育与传媒共同财政事权转移支付收入215万元，社会保障和就业共同财政事权转移支付收入7,941万元,医疗卫生共同财政事权转移支付收入5,500万元，节能环保共同财政事权转移支付收入542万元，农林水共同财政事权转移支付收入5,797万元，交通运输共同财政事权转移支付收入1,376万元，住房保障共同财政事权转移支付收入27万元，灾害防治及应急管理共同财政事权转移支付收入66万元，其他共同财政事权转移支付收入5万元，其他一般性转移支付收入132万元）；上级专项补助收入128,932万元（一般公共服务368万元，国防60万元，公共安全25万元，教育72万元，科学技术155万元，文化旅游体育和传媒262万元，社会保障和就业836万元，卫生健康449万元，节能环保114,159万元，城乡社区事务940万元，农林水事务3,611万元，交通运输6，599万元，商业服务业等185万，自然资源海洋气象55万元，住房保障支出15万元，粮油物资储备8万元，灾害防治及应急管理支出1,133万元）。</w:t>
      </w:r>
    </w:p>
    <w:p>
      <w:pPr>
        <w:keepNext w:val="0"/>
        <w:keepLines w:val="0"/>
        <w:pageBreakBefore w:val="0"/>
        <w:widowControl w:val="0"/>
        <w:kinsoku/>
        <w:wordWrap/>
        <w:overflowPunct/>
        <w:topLinePunct w:val="0"/>
        <w:autoSpaceDE w:val="0"/>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澄江市2026年预计转移性收入85,638万元，其中：返还性收入5,214万元（增值税税收返还收入277万元，所得税基数返还收入782万元,增值税“五五分享”税收返还收入4,155万元）；一般性转移支付补助收入66,713万元（均衡性转移支付收入18,105万元,县级基本财力保障机制奖补资金收入6,249万元,结算补助收入9,120万元,重点生态功能区转移支付收入7,853万元,固定数额补助收入6,993万元,巩固</w:t>
      </w:r>
      <w:r>
        <w:rPr>
          <w:rFonts w:hint="eastAsia" w:eastAsia="方正仿宋_GBK" w:cs="Times New Roman"/>
          <w:b w:val="0"/>
          <w:bCs w:val="0"/>
          <w:color w:val="auto"/>
          <w:sz w:val="32"/>
          <w:szCs w:val="32"/>
          <w:lang w:val="en-US" w:eastAsia="zh-CN"/>
        </w:rPr>
        <w:t>拓展</w:t>
      </w:r>
      <w:bookmarkStart w:id="0" w:name="_GoBack"/>
      <w:bookmarkEnd w:id="0"/>
      <w:r>
        <w:rPr>
          <w:rFonts w:hint="default" w:ascii="Times New Roman" w:hAnsi="Times New Roman" w:eastAsia="方正仿宋_GBK" w:cs="Times New Roman"/>
          <w:b w:val="0"/>
          <w:bCs w:val="0"/>
          <w:color w:val="auto"/>
          <w:sz w:val="32"/>
          <w:szCs w:val="32"/>
          <w:lang w:val="en-US" w:eastAsia="zh-CN"/>
        </w:rPr>
        <w:t>脱贫攻坚成果衔接乡村振兴转移支付收入1,669万元,公共安全共同财政事权转移支付收入1,187万元,教育共同财政事权转移支付收入2,946万元,文化旅游体育与传媒共同财政事权转移支付收入200万元，社会保障和就业共同财政事权转移支付收入6,467万元,医疗卫生共同财政事权转移支付收入1,873万元，节能环保共同财政事权转移支付收入344万元，农林水共同财政事权转移支付收入2,585万元，交通运输共同财政事权转移支付收入845万元，住房保障共同财政事权转移支付收入90万元，灾害防治及应急管理共同财政事权转移支付收入50万元，其他共同财政事权转移支付收入5万元，其他一般性转移支付收入132万元）；上级专项补助收入13,711万元（一般公共服务290万元，国防40万元，公共安全10万元，教育50万元，科学技术112万元，文化旅游体育和传媒185万元，社会保障和就业525万元，卫生健康358万元，节能环保8,629万元，城乡社区事务843万元，农林水事务957万元，交通运输1,113万元，自然资源海洋气象10万元，住房保障支出8万元，粮油物资储备5万元，灾害防治及应急管理支出576万元）。</w:t>
      </w:r>
    </w:p>
    <w:p>
      <w:pPr>
        <w:keepNext w:val="0"/>
        <w:keepLines w:val="0"/>
        <w:pageBreakBefore w:val="0"/>
        <w:widowControl w:val="0"/>
        <w:kinsoku/>
        <w:wordWrap/>
        <w:overflowPunct/>
        <w:topLinePunct w:val="0"/>
        <w:autoSpaceDE w:val="0"/>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使用情况：一般性转移支付补助收入和返还性收入主要用于人员供养支出、部门（单位）和乡镇（街道）正常运转支出、民生支出。专项转移支付补助收入根据上级下达专项用途安排支出。</w:t>
      </w:r>
    </w:p>
    <w:p>
      <w:pPr>
        <w:keepNext w:val="0"/>
        <w:keepLines w:val="0"/>
        <w:pageBreakBefore w:val="0"/>
        <w:widowControl w:val="0"/>
        <w:kinsoku/>
        <w:wordWrap/>
        <w:overflowPunct/>
        <w:topLinePunct w:val="0"/>
        <w:autoSpaceDE w:val="0"/>
        <w:autoSpaceDN/>
        <w:bidi w:val="0"/>
        <w:adjustRightInd/>
        <w:snapToGrid/>
        <w:spacing w:line="590" w:lineRule="exact"/>
        <w:ind w:left="0" w:right="0" w:rightChars="0" w:firstLine="640" w:firstLineChars="200"/>
        <w:jc w:val="both"/>
        <w:textAlignment w:val="auto"/>
        <w:rPr>
          <w:rFonts w:hint="default" w:ascii="方正黑体_GBK" w:hAnsi="方正黑体_GBK" w:eastAsia="方正黑体_GBK" w:cs="方正黑体_GBK"/>
          <w:b w:val="0"/>
          <w:bCs w:val="0"/>
          <w:color w:val="auto"/>
          <w:sz w:val="32"/>
          <w:szCs w:val="32"/>
        </w:rPr>
      </w:pPr>
      <w:r>
        <w:rPr>
          <w:rFonts w:hint="default" w:ascii="方正黑体_GBK" w:hAnsi="方正黑体_GBK" w:eastAsia="方正黑体_GBK" w:cs="方正黑体_GBK"/>
          <w:b w:val="0"/>
          <w:bCs w:val="0"/>
          <w:color w:val="auto"/>
          <w:sz w:val="32"/>
          <w:szCs w:val="32"/>
        </w:rPr>
        <w:t>五、债务管理情况说明</w:t>
      </w:r>
    </w:p>
    <w:p>
      <w:pPr>
        <w:keepNext w:val="0"/>
        <w:keepLines w:val="0"/>
        <w:pageBreakBefore w:val="0"/>
        <w:widowControl w:val="0"/>
        <w:kinsoku/>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highlight w:val="none"/>
          <w:lang w:val="en-US" w:eastAsia="zh-CN"/>
        </w:rPr>
        <w:t>（一）地方政府法定债务余额情况。</w:t>
      </w:r>
      <w:r>
        <w:rPr>
          <w:rFonts w:hint="default" w:ascii="Times New Roman" w:hAnsi="Times New Roman" w:eastAsia="方正仿宋_GBK" w:cs="Times New Roman"/>
          <w:b w:val="0"/>
          <w:bCs w:val="0"/>
          <w:color w:val="auto"/>
          <w:sz w:val="32"/>
          <w:szCs w:val="32"/>
          <w:lang w:val="en-US" w:eastAsia="zh-CN"/>
        </w:rPr>
        <w:t>截至2025年12月31日，政府法定债务余额142.15亿元，其中：一般债务27.62亿元、专项债务114.53亿元。</w:t>
      </w:r>
    </w:p>
    <w:p>
      <w:pPr>
        <w:keepNext w:val="0"/>
        <w:keepLines w:val="0"/>
        <w:pageBreakBefore w:val="0"/>
        <w:widowControl w:val="0"/>
        <w:kinsoku/>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highlight w:val="none"/>
          <w:lang w:val="en-US" w:eastAsia="zh-CN"/>
        </w:rPr>
        <w:t>（二）地方政府债券发行情况。</w:t>
      </w:r>
      <w:r>
        <w:rPr>
          <w:rFonts w:hint="default" w:ascii="Times New Roman" w:hAnsi="Times New Roman" w:eastAsia="方正仿宋_GBK" w:cs="Times New Roman"/>
          <w:b w:val="0"/>
          <w:bCs w:val="0"/>
          <w:color w:val="auto"/>
          <w:sz w:val="32"/>
          <w:szCs w:val="32"/>
          <w:lang w:val="en-US" w:eastAsia="zh-CN"/>
        </w:rPr>
        <w:t>发行地方政府债券16.46亿元，其中：一般债券2.65亿元、专项债券13.81亿元。</w:t>
      </w:r>
    </w:p>
    <w:p>
      <w:pPr>
        <w:keepNext w:val="0"/>
        <w:keepLines w:val="0"/>
        <w:pageBreakBefore w:val="0"/>
        <w:widowControl w:val="0"/>
        <w:kinsoku/>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highlight w:val="none"/>
          <w:lang w:val="en-US" w:eastAsia="zh-CN"/>
        </w:rPr>
        <w:t>（三）地方政府债券偿还情况。</w:t>
      </w:r>
      <w:r>
        <w:rPr>
          <w:rFonts w:hint="default" w:ascii="Times New Roman" w:hAnsi="Times New Roman" w:eastAsia="方正仿宋_GBK" w:cs="Times New Roman"/>
          <w:b w:val="0"/>
          <w:bCs w:val="0"/>
          <w:color w:val="auto"/>
          <w:sz w:val="32"/>
          <w:szCs w:val="32"/>
          <w:lang w:val="en-US" w:eastAsia="zh-CN"/>
        </w:rPr>
        <w:t>2025年政府债券实际偿还本金3.31亿元，其中：一般债券本金1.53亿元、专项债券本金1.78亿元；实际支付利息3.93亿元，其中：一般债券利息0.9亿元、专项债券利息3.03亿元。</w:t>
      </w:r>
    </w:p>
    <w:p>
      <w:pPr>
        <w:keepNext w:val="0"/>
        <w:keepLines w:val="0"/>
        <w:pageBreakBefore w:val="0"/>
        <w:widowControl w:val="0"/>
        <w:kinsoku/>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highlight w:val="none"/>
          <w:lang w:val="en-US" w:eastAsia="zh-CN"/>
        </w:rPr>
        <w:t>（四）澄江市高度重视政府性债务管理工作。</w:t>
      </w:r>
      <w:r>
        <w:rPr>
          <w:rFonts w:hint="default" w:ascii="Times New Roman" w:hAnsi="Times New Roman" w:eastAsia="方正仿宋_GBK" w:cs="Times New Roman"/>
          <w:b w:val="0"/>
          <w:bCs w:val="0"/>
          <w:color w:val="auto"/>
          <w:sz w:val="32"/>
          <w:szCs w:val="32"/>
          <w:lang w:val="en-US" w:eastAsia="zh-CN"/>
        </w:rPr>
        <w:t>2025年，地方政府债务管理工作持续围绕中央、省、市安排部署，以防范化解债务风险、优化债务结构、促进经济健康发展为目标，牢固树立底线风险思维，扎实有力推进债务管理各项工作，牢牢守住了不发生区域性系统性风险底线，政府债务风险总体可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sz w:val="32"/>
          <w:szCs w:val="32"/>
          <w:lang w:val="en-US" w:eastAsia="zh-CN"/>
        </w:rPr>
        <w:t>1.建立健全债务风险管控机制。</w:t>
      </w:r>
      <w:r>
        <w:rPr>
          <w:rFonts w:hint="default" w:ascii="Times New Roman" w:hAnsi="Times New Roman" w:eastAsia="方正仿宋_GBK" w:cs="Times New Roman"/>
          <w:b w:val="0"/>
          <w:bCs w:val="0"/>
          <w:color w:val="auto"/>
          <w:kern w:val="2"/>
          <w:sz w:val="32"/>
          <w:szCs w:val="32"/>
          <w:lang w:val="en-US" w:eastAsia="zh-CN" w:bidi="ar-SA"/>
        </w:rPr>
        <w:t>2025年澄江市按照上级部门工作安排，加快完善全口径地方政府债务监测监管体系，指导单位做好债务管理、举借、使用、偿还工作，对债务规模、结构、偿债等指标进行实时监控，及时发现和预警潜在风险，确保债务数据的及时性与准确性。强化专项债券项目穿透式管理，</w:t>
      </w:r>
      <w:r>
        <w:rPr>
          <w:rFonts w:hint="default" w:ascii="Times New Roman" w:hAnsi="Times New Roman" w:eastAsia="方正仿宋_GBK" w:cs="Times New Roman"/>
          <w:b w:val="0"/>
          <w:bCs w:val="0"/>
          <w:color w:val="auto"/>
          <w:kern w:val="0"/>
          <w:sz w:val="32"/>
          <w:szCs w:val="32"/>
          <w:lang w:val="en-US" w:eastAsia="zh-CN" w:bidi="ar-SA"/>
        </w:rPr>
        <w:t>依托专项债券穿透式监测系统，加强对项目建设、运营、收入各阶段的监督，不定期评估项目收益不及预期的风险，提前制定风险应对措施，逐步实现对专项债券项目全生命周期、常态化风险监控。制定《澄江市政府投资项目资金管理办法（试行）》，严格规范政府投资建设项目资金来源，严禁违规举借债务，从源头防范政府债务风险。</w:t>
      </w:r>
    </w:p>
    <w:p>
      <w:pPr>
        <w:keepNext w:val="0"/>
        <w:keepLines w:val="0"/>
        <w:pageBreakBefore w:val="0"/>
        <w:widowControl w:val="0"/>
        <w:kinsoku/>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sz w:val="32"/>
          <w:szCs w:val="32"/>
          <w:lang w:val="en-US" w:eastAsia="zh-CN"/>
        </w:rPr>
        <w:t>2.债务纳入预算管理。对地方政府法定债务实施限额管理，地方政府法定债务余额控制在玉溪市财政局下达的政府债务限额以内。对现有债务，根据偿债资金性质分别纳入一般公共预算和政府性基金预算管理，保证债券资金到期还本付息资金，确保到期政府债券不出现逾期风险，规范债务资金管理和会计核算，进一步增强债务预算的科学性和完整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3.严肃财经纪律。持续强化预算约束，严禁无预算、超预算支出，杜绝以拖欠工程款、施工单位垫资建设等方式形成新的政府性债务。时刻保持监管高压态势，对新增隐性债务问题“零容忍”，将不新增隐性债务作为“铁的纪律”。分类扎实推进国有企业市场化转型，规范融资业务，阻断新增隐性债务路径。</w:t>
      </w:r>
      <w:r>
        <w:rPr>
          <w:rFonts w:hint="default" w:ascii="Times New Roman" w:hAnsi="Times New Roman" w:eastAsia="方正仿宋_GBK" w:cs="Times New Roman"/>
          <w:b w:val="0"/>
          <w:bCs w:val="0"/>
          <w:color w:val="auto"/>
          <w:kern w:val="2"/>
          <w:sz w:val="32"/>
          <w:szCs w:val="32"/>
          <w:lang w:val="en-US" w:eastAsia="zh-CN" w:bidi="ar-SA"/>
        </w:rPr>
        <w:t>持续做好舆情监测处置，在宣传解读上不盲目不抢先，严防负面舆情的事件，营造良好的外部环境。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4830"/>
          <w:tab w:val="left" w:pos="8640"/>
        </w:tabs>
        <w:kinsoku/>
        <w:wordWrap/>
        <w:overflowPunct/>
        <w:topLinePunct w:val="0"/>
        <w:autoSpaceDE w:val="0"/>
        <w:autoSpaceDN/>
        <w:bidi w:val="0"/>
        <w:adjustRightInd w:val="0"/>
        <w:snapToGrid w:val="0"/>
        <w:spacing w:beforeAutospacing="0" w:afterAutospacing="0"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大力推进债务信息公开，坚持规范管理，及时公开政府债务发行、还本付息等重大事项信息。</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4830"/>
          <w:tab w:val="left" w:pos="8640"/>
        </w:tabs>
        <w:kinsoku/>
        <w:wordWrap/>
        <w:overflowPunct/>
        <w:topLinePunct w:val="0"/>
        <w:autoSpaceDE w:val="0"/>
        <w:autoSpaceDN/>
        <w:bidi w:val="0"/>
        <w:adjustRightInd w:val="0"/>
        <w:snapToGrid w:val="0"/>
        <w:spacing w:beforeAutospacing="0" w:afterAutospacing="0"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方正黑体_GBK" w:hAnsi="方正黑体_GBK" w:eastAsia="方正黑体_GBK" w:cs="方正黑体_GBK"/>
          <w:b w:val="0"/>
          <w:bCs w:val="0"/>
          <w:color w:val="auto"/>
          <w:sz w:val="32"/>
          <w:szCs w:val="32"/>
          <w:highlight w:val="none"/>
        </w:rPr>
        <w:t>六、绩效管理情况说明</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color w:val="auto"/>
          <w:sz w:val="32"/>
          <w:szCs w:val="32"/>
          <w:highlight w:val="none"/>
          <w:lang w:val="en-US" w:eastAsia="zh-CN"/>
        </w:rPr>
        <w:t>为认真贯彻落实《中共云南省委、云南省人民政府关于全面实施预算绩效管理的实施意见》（云发〔2019〕11号）和《中共玉溪市委办公室、玉溪市人民政府办公室关于贯彻落实&lt;中共云南省委、云南省人民政府关于全面实施预算绩效管理的实施意见&gt;的通知》（玉办通〔2019〕23号）精神，结合《澄江市财政局关于印发&lt;2021年预算绩效管理工作方案&gt;的通知》（澄财发〔2021〕17号）、《澄江市项目支出事前绩效评估管理办法（试行）的通知》（澄财发〔2022〕39号）等文件要求，持续强化部门全过程预算绩效管理理念，优化财政支出结构，切实提高财政资金使用效率。2026年将更加注重绩效评价结果应用，拓宽预算绩效管理结果应用范围，将结果应用作为预算调整及安排的重要依据，强化监督检查，完善管理机制，让绩效管理从资金“约束工具”转变为管理“成长阶梯”。</w:t>
      </w:r>
    </w:p>
    <w:p>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4830"/>
          <w:tab w:val="left" w:pos="8640"/>
        </w:tabs>
        <w:kinsoku/>
        <w:wordWrap/>
        <w:overflowPunct/>
        <w:topLinePunct w:val="0"/>
        <w:autoSpaceDE w:val="0"/>
        <w:autoSpaceDN/>
        <w:bidi w:val="0"/>
        <w:adjustRightInd w:val="0"/>
        <w:snapToGrid w:val="0"/>
        <w:spacing w:beforeAutospacing="0" w:afterAutospacing="0"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七、</w:t>
      </w:r>
      <w:r>
        <w:rPr>
          <w:rFonts w:hint="eastAsia" w:ascii="方正黑体_GBK" w:hAnsi="方正黑体_GBK" w:eastAsia="方正黑体_GBK" w:cs="方正黑体_GBK"/>
          <w:b w:val="0"/>
          <w:bCs w:val="0"/>
          <w:color w:val="auto"/>
          <w:sz w:val="32"/>
          <w:szCs w:val="32"/>
          <w:highlight w:val="none"/>
        </w:rPr>
        <w:t>公开空表说明</w:t>
      </w:r>
    </w:p>
    <w:p>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4830"/>
          <w:tab w:val="left" w:pos="8640"/>
        </w:tabs>
        <w:kinsoku/>
        <w:wordWrap/>
        <w:overflowPunct/>
        <w:topLinePunct w:val="0"/>
        <w:autoSpaceDE w:val="0"/>
        <w:autoSpaceDN/>
        <w:bidi w:val="0"/>
        <w:adjustRightInd w:val="0"/>
        <w:snapToGrid w:val="0"/>
        <w:spacing w:beforeAutospacing="0" w:afterAutospacing="0" w:line="590" w:lineRule="exact"/>
        <w:ind w:left="0" w:right="0" w:righ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因202</w:t>
      </w:r>
      <w:r>
        <w:rPr>
          <w:rFonts w:hint="default"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rPr>
        <w:t>年无国有资本经营支出</w:t>
      </w:r>
      <w:r>
        <w:rPr>
          <w:rFonts w:hint="default" w:ascii="Times New Roman" w:hAnsi="Times New Roman" w:eastAsia="方正仿宋_GBK" w:cs="Times New Roman"/>
          <w:b w:val="0"/>
          <w:bCs w:val="0"/>
          <w:color w:val="auto"/>
          <w:sz w:val="32"/>
          <w:szCs w:val="32"/>
          <w:highlight w:val="none"/>
          <w:lang w:val="en-US" w:eastAsia="zh-CN"/>
        </w:rPr>
        <w:t>对下转移支付</w:t>
      </w:r>
      <w:r>
        <w:rPr>
          <w:rFonts w:hint="default" w:ascii="Times New Roman" w:hAnsi="Times New Roman" w:eastAsia="方正仿宋_GBK" w:cs="Times New Roman"/>
          <w:b w:val="0"/>
          <w:bCs w:val="0"/>
          <w:color w:val="auto"/>
          <w:sz w:val="32"/>
          <w:szCs w:val="32"/>
          <w:highlight w:val="none"/>
        </w:rPr>
        <w:t>，按照要求，国有资本经营</w:t>
      </w:r>
      <w:r>
        <w:rPr>
          <w:rFonts w:hint="default" w:ascii="Times New Roman" w:hAnsi="Times New Roman" w:eastAsia="方正仿宋_GBK" w:cs="Times New Roman"/>
          <w:b w:val="0"/>
          <w:bCs w:val="0"/>
          <w:color w:val="auto"/>
          <w:sz w:val="32"/>
          <w:szCs w:val="32"/>
          <w:highlight w:val="none"/>
          <w:lang w:val="en-US" w:eastAsia="zh-CN"/>
        </w:rPr>
        <w:t>预算转移支付表（分项目）</w:t>
      </w:r>
      <w:r>
        <w:rPr>
          <w:rFonts w:hint="default" w:ascii="Times New Roman" w:hAnsi="Times New Roman" w:eastAsia="方正仿宋_GBK" w:cs="Times New Roman"/>
          <w:b w:val="0"/>
          <w:bCs w:val="0"/>
          <w:color w:val="auto"/>
          <w:sz w:val="32"/>
          <w:szCs w:val="32"/>
          <w:highlight w:val="none"/>
        </w:rPr>
        <w:t>公开了空表。</w:t>
      </w:r>
    </w:p>
    <w:p>
      <w:pPr>
        <w:keepNext w:val="0"/>
        <w:keepLines w:val="0"/>
        <w:pageBreakBefore w:val="0"/>
        <w:widowControl w:val="0"/>
        <w:numPr>
          <w:ilvl w:val="0"/>
          <w:numId w:val="0"/>
        </w:numPr>
        <w:pBdr>
          <w:top w:val="none" w:color="auto" w:sz="0" w:space="0"/>
          <w:left w:val="none" w:color="auto" w:sz="0" w:space="0"/>
          <w:bottom w:val="none" w:color="FFFFFF" w:sz="0" w:space="31"/>
          <w:right w:val="none" w:color="auto" w:sz="0" w:space="0"/>
          <w:between w:val="none" w:color="auto" w:sz="0" w:space="0"/>
        </w:pBdr>
        <w:tabs>
          <w:tab w:val="left" w:pos="4830"/>
          <w:tab w:val="left" w:pos="8640"/>
        </w:tabs>
        <w:kinsoku/>
        <w:wordWrap/>
        <w:overflowPunct/>
        <w:topLinePunct w:val="0"/>
        <w:autoSpaceDE w:val="0"/>
        <w:autoSpaceDN/>
        <w:bidi w:val="0"/>
        <w:adjustRightInd w:val="0"/>
        <w:snapToGrid/>
        <w:spacing w:beforeAutospacing="0" w:afterAutospacing="0" w:line="590" w:lineRule="exact"/>
        <w:ind w:left="0" w:right="0" w:rightChars="0" w:firstLine="640" w:firstLineChars="200"/>
        <w:jc w:val="both"/>
        <w:textAlignment w:val="auto"/>
        <w:rPr>
          <w:color w:val="auto"/>
        </w:rPr>
      </w:pPr>
      <w:r>
        <w:rPr>
          <w:rFonts w:hint="default" w:ascii="Times New Roman" w:hAnsi="Times New Roman" w:eastAsia="方正仿宋_GBK" w:cs="Times New Roman"/>
          <w:b w:val="0"/>
          <w:bCs w:val="0"/>
          <w:color w:val="auto"/>
          <w:kern w:val="2"/>
          <w:sz w:val="32"/>
          <w:szCs w:val="32"/>
          <w:highlight w:val="none"/>
          <w:lang w:val="en-US" w:eastAsia="zh-CN" w:bidi="ar-SA"/>
        </w:rPr>
        <w:t>2.因202</w:t>
      </w:r>
      <w:r>
        <w:rPr>
          <w:rFonts w:hint="eastAsia" w:ascii="Times New Roman" w:hAnsi="Times New Roman" w:eastAsia="方正仿宋_GBK" w:cs="Times New Roman"/>
          <w:b w:val="0"/>
          <w:bCs w:val="0"/>
          <w:color w:val="auto"/>
          <w:kern w:val="2"/>
          <w:sz w:val="32"/>
          <w:szCs w:val="32"/>
          <w:highlight w:val="none"/>
          <w:lang w:val="en-US" w:eastAsia="zh-CN" w:bidi="ar-SA"/>
        </w:rPr>
        <w:t>6</w:t>
      </w:r>
      <w:r>
        <w:rPr>
          <w:rFonts w:hint="default" w:ascii="Times New Roman" w:hAnsi="Times New Roman" w:eastAsia="方正仿宋_GBK" w:cs="Times New Roman"/>
          <w:b w:val="0"/>
          <w:bCs w:val="0"/>
          <w:color w:val="auto"/>
          <w:kern w:val="2"/>
          <w:sz w:val="32"/>
          <w:szCs w:val="32"/>
          <w:highlight w:val="none"/>
          <w:lang w:val="en-US" w:eastAsia="zh-CN" w:bidi="ar-SA"/>
        </w:rPr>
        <w:t>年无年初新增地方政府债券资金，按照要求，澄江市202</w:t>
      </w:r>
      <w:r>
        <w:rPr>
          <w:rFonts w:hint="eastAsia" w:ascii="Times New Roman" w:hAnsi="Times New Roman" w:eastAsia="方正仿宋_GBK" w:cs="Times New Roman"/>
          <w:b w:val="0"/>
          <w:bCs w:val="0"/>
          <w:color w:val="auto"/>
          <w:kern w:val="2"/>
          <w:sz w:val="32"/>
          <w:szCs w:val="32"/>
          <w:highlight w:val="none"/>
          <w:lang w:val="en-US" w:eastAsia="zh-CN" w:bidi="ar-SA"/>
        </w:rPr>
        <w:t>6</w:t>
      </w:r>
      <w:r>
        <w:rPr>
          <w:rFonts w:hint="default" w:ascii="Times New Roman" w:hAnsi="Times New Roman" w:eastAsia="方正仿宋_GBK" w:cs="Times New Roman"/>
          <w:b w:val="0"/>
          <w:bCs w:val="0"/>
          <w:color w:val="auto"/>
          <w:kern w:val="2"/>
          <w:sz w:val="32"/>
          <w:szCs w:val="32"/>
          <w:highlight w:val="none"/>
          <w:lang w:val="en-US" w:eastAsia="zh-CN" w:bidi="ar-SA"/>
        </w:rPr>
        <w:t>年年初新增地方政府债券资金安排表公开了空表。</w:t>
      </w:r>
    </w:p>
    <w:sectPr>
      <w:footerReference r:id="rId3" w:type="default"/>
      <w:footerReference r:id="rId4" w:type="even"/>
      <w:pgSz w:w="11906" w:h="16838"/>
      <w:pgMar w:top="1440" w:right="1274"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11872"/>
    <w:rsid w:val="0A8E24C8"/>
    <w:rsid w:val="126F465A"/>
    <w:rsid w:val="200E5CD6"/>
    <w:rsid w:val="32197918"/>
    <w:rsid w:val="36FD0FE7"/>
    <w:rsid w:val="4BFA0888"/>
    <w:rsid w:val="4CC952E1"/>
    <w:rsid w:val="4DC31861"/>
    <w:rsid w:val="593A42DA"/>
    <w:rsid w:val="5F315E91"/>
    <w:rsid w:val="61C41019"/>
    <w:rsid w:val="62D71D8A"/>
    <w:rsid w:val="6A1865B5"/>
    <w:rsid w:val="6CC06609"/>
    <w:rsid w:val="6F0A79CB"/>
    <w:rsid w:val="76965101"/>
    <w:rsid w:val="77293C6A"/>
    <w:rsid w:val="7E21649C"/>
    <w:rsid w:val="7E3FB1FE"/>
    <w:rsid w:val="7E61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qFormat/>
    <w:uiPriority w:val="0"/>
    <w:pPr>
      <w:spacing w:beforeAutospacing="1" w:afterAutospacing="1"/>
      <w:jc w:val="left"/>
      <w:outlineLvl w:val="2"/>
    </w:pPr>
    <w:rPr>
      <w:rFonts w:ascii="宋体" w:hAnsi="宋体"/>
      <w:b/>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tLeast"/>
      <w:ind w:firstLine="420" w:firstLineChars="200"/>
      <w:textAlignment w:val="baseline"/>
    </w:pPr>
  </w:style>
  <w:style w:type="paragraph" w:styleId="3">
    <w:name w:val="Body Text Indent"/>
    <w:basedOn w:val="1"/>
    <w:next w:val="1"/>
    <w:qFormat/>
    <w:uiPriority w:val="0"/>
    <w:pPr>
      <w:spacing w:after="120"/>
      <w:ind w:left="200" w:leftChars="200"/>
    </w:pPr>
  </w:style>
  <w:style w:type="paragraph" w:styleId="4">
    <w:name w:val="Body Text First Indent"/>
    <w:basedOn w:val="5"/>
    <w:qFormat/>
    <w:uiPriority w:val="0"/>
    <w:pPr>
      <w:ind w:firstLine="420" w:firstLineChars="100"/>
    </w:pPr>
  </w:style>
  <w:style w:type="paragraph" w:styleId="5">
    <w:name w:val="Body Text"/>
    <w:basedOn w:val="1"/>
    <w:next w:val="4"/>
    <w:qFormat/>
    <w:uiPriority w:val="0"/>
  </w:style>
  <w:style w:type="paragraph" w:styleId="7">
    <w:name w:val="footer"/>
    <w:basedOn w:val="1"/>
    <w:qFormat/>
    <w:uiPriority w:val="0"/>
    <w:pPr>
      <w:tabs>
        <w:tab w:val="center" w:pos="4153"/>
        <w:tab w:val="right" w:pos="8306"/>
      </w:tabs>
      <w:snapToGrid w:val="0"/>
      <w:jc w:val="left"/>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2026-01-28T15:11:00Z</dcterms:created>
  <dc:creator>Dell</dc:creator>
  <cp:lastModifiedBy>user</cp:lastModifiedBy>
  <dcterms:modified xsi:type="dcterms:W3CDTF">2026-04-20T09:24:48Z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6341A6F2353B6C266080E569426101DA_43</vt:lpwstr>
  </property>
</Properties>
</file>