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both"/>
        <w:textAlignment w:val="auto"/>
        <w:rPr>
          <w:rFonts w:hint="default" w:ascii="Times New Roman" w:hAnsi="Times New Roman" w:eastAsia="方正黑体_GBK" w:cs="Times New Roman"/>
          <w:b w:val="0"/>
          <w:bCs/>
          <w:i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Times New Roman" w:hAnsi="Times New Roman" w:eastAsia="方正黑体_GBK" w:cs="Times New Roman"/>
          <w:b w:val="0"/>
          <w:bCs/>
          <w:i w:val="0"/>
          <w:color w:val="000000"/>
          <w:kern w:val="0"/>
          <w:sz w:val="32"/>
          <w:szCs w:val="32"/>
          <w:u w:val="none"/>
          <w:lang w:val="en-US" w:eastAsia="zh-CN" w:bidi="ar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Style w:val="6"/>
          <w:rFonts w:hint="default" w:ascii="Times New Roman" w:hAnsi="Times New Roman" w:eastAsia="方正小标宋_GBK" w:cs="Times New Roman"/>
          <w:b w:val="0"/>
          <w:bCs/>
          <w:lang w:val="en-US" w:eastAsia="zh-CN" w:bidi="ar"/>
        </w:rPr>
      </w:pPr>
      <w:r>
        <w:rPr>
          <w:rFonts w:hint="default" w:ascii="Times New Roman" w:hAnsi="Times New Roman" w:eastAsia="方正小标宋_GBK" w:cs="Times New Roman"/>
          <w:b w:val="0"/>
          <w:bCs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20</w:t>
      </w:r>
      <w:r>
        <w:rPr>
          <w:rFonts w:hint="eastAsia" w:ascii="Times New Roman" w:hAnsi="Times New Roman" w:eastAsia="方正小标宋_GBK" w:cs="Times New Roman"/>
          <w:b w:val="0"/>
          <w:bCs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25</w:t>
      </w:r>
      <w:r>
        <w:rPr>
          <w:rStyle w:val="6"/>
          <w:rFonts w:hint="default" w:ascii="Times New Roman" w:hAnsi="Times New Roman" w:eastAsia="方正小标宋_GBK" w:cs="Times New Roman"/>
          <w:b w:val="0"/>
          <w:bCs/>
          <w:lang w:val="en-US" w:eastAsia="zh-CN" w:bidi="ar"/>
        </w:rPr>
        <w:t>年政府性基金项目清单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rPr>
          <w:rStyle w:val="6"/>
          <w:rFonts w:hint="default" w:ascii="Times New Roman" w:hAnsi="Times New Roman" w:eastAsia="方正小标宋_GBK" w:cs="Times New Roman"/>
          <w:b w:val="0"/>
          <w:bCs/>
          <w:lang w:val="en-US" w:eastAsia="zh-CN" w:bidi="ar"/>
        </w:rPr>
      </w:pPr>
      <w:r>
        <w:rPr>
          <w:rStyle w:val="7"/>
          <w:rFonts w:hint="default" w:ascii="Times New Roman" w:hAnsi="Times New Roman" w:eastAsia="方正仿宋_GBK" w:cs="Times New Roman"/>
          <w:color w:val="auto"/>
          <w:sz w:val="22"/>
          <w:szCs w:val="22"/>
          <w:lang w:val="en-US" w:eastAsia="zh-CN" w:bidi="ar"/>
        </w:rPr>
        <w:t>填制单位：</w:t>
      </w:r>
      <w:r>
        <w:rPr>
          <w:rStyle w:val="7"/>
          <w:rFonts w:hint="eastAsia" w:eastAsia="方正仿宋_GBK" w:cs="Times New Roman"/>
          <w:color w:val="auto"/>
          <w:sz w:val="22"/>
          <w:szCs w:val="22"/>
          <w:lang w:val="en-US" w:eastAsia="zh-CN" w:bidi="ar"/>
        </w:rPr>
        <w:t>澄江</w:t>
      </w:r>
      <w:r>
        <w:rPr>
          <w:rStyle w:val="7"/>
          <w:rFonts w:hint="default" w:ascii="Times New Roman" w:hAnsi="Times New Roman" w:eastAsia="方正仿宋_GBK" w:cs="Times New Roman"/>
          <w:color w:val="auto"/>
          <w:sz w:val="22"/>
          <w:szCs w:val="22"/>
          <w:lang w:val="en-US" w:eastAsia="zh-CN" w:bidi="ar"/>
        </w:rPr>
        <w:t>市财政局</w:t>
      </w:r>
      <w:r>
        <w:rPr>
          <w:rFonts w:hint="default" w:ascii="Times New Roman" w:hAnsi="Times New Roman" w:eastAsia="方正仿宋_GBK" w:cs="Times New Roman"/>
          <w:b/>
          <w:color w:val="auto"/>
          <w:sz w:val="22"/>
          <w:szCs w:val="22"/>
          <w:u w:val="none"/>
          <w:lang w:val="en-US" w:eastAsia="zh-CN" w:bidi="ar"/>
        </w:rPr>
        <w:t xml:space="preserve"> </w:t>
      </w:r>
      <w:r>
        <w:rPr>
          <w:rFonts w:hint="eastAsia" w:ascii="Times New Roman" w:hAnsi="Times New Roman" w:eastAsia="方正仿宋_GBK" w:cs="Times New Roman"/>
          <w:b/>
          <w:color w:val="auto"/>
          <w:sz w:val="22"/>
          <w:szCs w:val="22"/>
          <w:u w:val="none"/>
          <w:lang w:val="en-US" w:eastAsia="zh-CN" w:bidi="ar"/>
        </w:rPr>
        <w:t xml:space="preserve">  </w:t>
      </w:r>
      <w:r>
        <w:rPr>
          <w:rFonts w:hint="eastAsia" w:eastAsia="方正仿宋_GBK" w:cs="Times New Roman"/>
          <w:b/>
          <w:color w:val="auto"/>
          <w:sz w:val="22"/>
          <w:szCs w:val="22"/>
          <w:u w:val="none"/>
          <w:lang w:val="en-US" w:eastAsia="zh-CN" w:bidi="ar"/>
        </w:rPr>
        <w:t>澄江</w:t>
      </w:r>
      <w:r>
        <w:rPr>
          <w:rFonts w:hint="eastAsia" w:ascii="Times New Roman" w:hAnsi="Times New Roman" w:eastAsia="方正仿宋_GBK" w:cs="Times New Roman"/>
          <w:b/>
          <w:color w:val="auto"/>
          <w:sz w:val="22"/>
          <w:szCs w:val="22"/>
          <w:u w:val="none"/>
          <w:lang w:val="en-US" w:eastAsia="zh-CN" w:bidi="ar"/>
        </w:rPr>
        <w:t>市发展和改革</w:t>
      </w:r>
      <w:r>
        <w:rPr>
          <w:rFonts w:hint="eastAsia" w:eastAsia="方正仿宋_GBK" w:cs="Times New Roman"/>
          <w:b/>
          <w:color w:val="auto"/>
          <w:sz w:val="22"/>
          <w:szCs w:val="22"/>
          <w:u w:val="none"/>
          <w:lang w:val="en-US" w:eastAsia="zh-CN" w:bidi="ar"/>
        </w:rPr>
        <w:t>局</w:t>
      </w:r>
    </w:p>
    <w:tbl>
      <w:tblPr>
        <w:tblStyle w:val="4"/>
        <w:tblW w:w="141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0"/>
        <w:gridCol w:w="644"/>
        <w:gridCol w:w="1246"/>
        <w:gridCol w:w="1665"/>
        <w:gridCol w:w="98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  <w:tblHeader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资金管理方式</w:t>
            </w:r>
          </w:p>
        </w:tc>
        <w:tc>
          <w:tcPr>
            <w:tcW w:w="9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政策依据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铁路建设基金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缴入中央国库</w:t>
            </w:r>
          </w:p>
        </w:tc>
        <w:tc>
          <w:tcPr>
            <w:tcW w:w="9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国发〔1992〕37号，财工字〔1996〕371号，财工</w:t>
            </w:r>
            <w:r>
              <w:rPr>
                <w:rStyle w:val="8"/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字</w:t>
            </w: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〔1997〕543号，财综〔2007〕3号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民航发展基金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缴入中央国库</w:t>
            </w:r>
          </w:p>
        </w:tc>
        <w:tc>
          <w:tcPr>
            <w:tcW w:w="9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国发〔2012〕24号，财综〔2012〕17号，财税〔2015〕135号，财税〔201</w:t>
            </w:r>
            <w:r>
              <w:rPr>
                <w:rStyle w:val="8"/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9</w:t>
            </w: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〕46号</w:t>
            </w:r>
            <w:r>
              <w:rPr>
                <w:rStyle w:val="8"/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，</w:t>
            </w: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财政部</w:t>
            </w:r>
            <w:r>
              <w:rPr>
                <w:rStyle w:val="8"/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国家发展改革委公告2020年第11号，财政部</w:t>
            </w:r>
            <w:r>
              <w:rPr>
                <w:rStyle w:val="8"/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税务总局公告2020年第28号，财税〔2020〕72号，财政部公告2021年第8号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国家重大水利工程建设基金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缴入中央和地方国库</w:t>
            </w:r>
          </w:p>
        </w:tc>
        <w:tc>
          <w:tcPr>
            <w:tcW w:w="9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财综〔2009〕90号，财综〔2010〕97号，财税〔2010〕44号，财综〔2013〕103号，财税〔2015〕80号，财办税〔2015〕4号，财税〔2017〕51号，财办税〔2017〕60号，财税〔2018〕39号，财税〔2018〕147号，财税〔2019〕46号，财税〔2020〕9号，云财综〔2010〕24号，云财非税〔2019〕12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8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水利建设基金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缴入中央和地方国库</w:t>
            </w:r>
          </w:p>
        </w:tc>
        <w:tc>
          <w:tcPr>
            <w:tcW w:w="9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《中华人民共和国防洪法》，</w:t>
            </w: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财综字〔1998〕125号，财综〔2011〕2号，财综函〔2011〕33号，财办综〔2011〕111号，财税函〔2016〕291号，财税〔2016〕12号，财税〔2017〕18号，财税〔2020〕9号，财税〔2020〕72号，</w:t>
            </w:r>
            <w:r>
              <w:rPr>
                <w:rStyle w:val="8"/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财税</w:t>
            </w: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〔202</w:t>
            </w:r>
            <w:r>
              <w:rPr>
                <w:rStyle w:val="8"/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3</w:t>
            </w: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〕</w:t>
            </w:r>
            <w:r>
              <w:rPr>
                <w:rStyle w:val="8"/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9</w:t>
            </w: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号</w:t>
            </w:r>
            <w:r>
              <w:rPr>
                <w:rStyle w:val="8"/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，</w:t>
            </w: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云政办发〔2016〕108号，云财规〔2021〕7号，云财规〔2021〕13号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城市基础设施配套费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缴入地方国库</w:t>
            </w:r>
          </w:p>
        </w:tc>
        <w:tc>
          <w:tcPr>
            <w:tcW w:w="9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国发〔1998〕34号，国发〔</w:t>
            </w:r>
            <w:r>
              <w:rPr>
                <w:rStyle w:val="8"/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2002</w:t>
            </w: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〕</w:t>
            </w:r>
            <w:r>
              <w:rPr>
                <w:rStyle w:val="8"/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20</w:t>
            </w: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号，国发〔</w:t>
            </w:r>
            <w:r>
              <w:rPr>
                <w:rStyle w:val="8"/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2007</w:t>
            </w: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〕</w:t>
            </w:r>
            <w:r>
              <w:rPr>
                <w:rStyle w:val="8"/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2</w:t>
            </w: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4号，国发〔</w:t>
            </w:r>
            <w:r>
              <w:rPr>
                <w:rStyle w:val="8"/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2013</w:t>
            </w: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〕</w:t>
            </w:r>
            <w:r>
              <w:rPr>
                <w:rStyle w:val="8"/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25</w:t>
            </w: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号，国</w:t>
            </w:r>
            <w:r>
              <w:rPr>
                <w:rStyle w:val="8"/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办</w:t>
            </w: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发〔</w:t>
            </w:r>
            <w:r>
              <w:rPr>
                <w:rStyle w:val="8"/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2011</w:t>
            </w: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〕</w:t>
            </w:r>
            <w:r>
              <w:rPr>
                <w:rStyle w:val="8"/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45</w:t>
            </w: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号，国</w:t>
            </w:r>
            <w:r>
              <w:rPr>
                <w:rStyle w:val="8"/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办</w:t>
            </w: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发〔</w:t>
            </w:r>
            <w:r>
              <w:rPr>
                <w:rStyle w:val="8"/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2021</w:t>
            </w: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〕</w:t>
            </w:r>
            <w:r>
              <w:rPr>
                <w:rStyle w:val="8"/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22</w:t>
            </w: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号，国</w:t>
            </w:r>
            <w:r>
              <w:rPr>
                <w:rStyle w:val="8"/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办</w:t>
            </w: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发〔</w:t>
            </w:r>
            <w:r>
              <w:rPr>
                <w:rStyle w:val="8"/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2020</w:t>
            </w: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〕</w:t>
            </w:r>
            <w:r>
              <w:rPr>
                <w:rStyle w:val="8"/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23</w:t>
            </w: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号，财综函〔2002〕3号，财综〔2007〕53号，财综〔20</w:t>
            </w:r>
            <w:r>
              <w:rPr>
                <w:rStyle w:val="8"/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15</w:t>
            </w: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〕5</w:t>
            </w:r>
            <w:r>
              <w:rPr>
                <w:rStyle w:val="8"/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7</w:t>
            </w: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号，财综〔20</w:t>
            </w:r>
            <w:r>
              <w:rPr>
                <w:rStyle w:val="8"/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16</w:t>
            </w: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〕</w:t>
            </w:r>
            <w:r>
              <w:rPr>
                <w:rStyle w:val="8"/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11</w:t>
            </w: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号，财税〔2019〕53号，财政部</w:t>
            </w:r>
            <w:r>
              <w:rPr>
                <w:rStyle w:val="8"/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税务总局</w:t>
            </w:r>
            <w:r>
              <w:rPr>
                <w:rStyle w:val="8"/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发展改革委</w:t>
            </w:r>
            <w:r>
              <w:rPr>
                <w:rStyle w:val="8"/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民政部</w:t>
            </w:r>
            <w:r>
              <w:rPr>
                <w:rStyle w:val="8"/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商务部</w:t>
            </w:r>
            <w:r>
              <w:rPr>
                <w:rStyle w:val="8"/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卫生健康委公告2019年第76号</w:t>
            </w:r>
            <w:r>
              <w:rPr>
                <w:rStyle w:val="8"/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，</w:t>
            </w: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财政部</w:t>
            </w:r>
            <w:r>
              <w:rPr>
                <w:rStyle w:val="8"/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税务总局</w:t>
            </w:r>
            <w:r>
              <w:rPr>
                <w:rStyle w:val="8"/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 xml:space="preserve"> 住房城乡建设不公告2023年第70号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农网还贷资金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缴入中央和地方国库</w:t>
            </w:r>
          </w:p>
        </w:tc>
        <w:tc>
          <w:tcPr>
            <w:tcW w:w="9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财企〔2001〕820号，财企〔2002〕266号，财企〔2006〕347号，财综〔2007〕3号，财综〔2012〕7号，财综〔2013〕103号，财税〔2015〕59号，财税〔2018〕147号，财税〔2020〕67号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教育费附加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缴入中央和地方国库</w:t>
            </w:r>
          </w:p>
        </w:tc>
        <w:tc>
          <w:tcPr>
            <w:tcW w:w="9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center"/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《</w:t>
            </w:r>
            <w:r>
              <w:rPr>
                <w:rStyle w:val="8"/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中华人民共和国</w:t>
            </w: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教育法》，国发〔1986〕50号(国务院令第60号修改发布），国发明电〔1994〕2号、23号，财综〔2007〕53号，国发〔2010〕35号，财税〔2010〕103号，财综〔20</w:t>
            </w:r>
            <w:r>
              <w:rPr>
                <w:rStyle w:val="8"/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15</w:t>
            </w: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〕5</w:t>
            </w:r>
            <w:r>
              <w:rPr>
                <w:rStyle w:val="8"/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7</w:t>
            </w: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号，财税〔2016〕12号，财税〔2019〕13号，财税〔2019〕21号，财税〔2019〕22号，财税〔2019〕46号</w:t>
            </w:r>
            <w:r>
              <w:rPr>
                <w:rStyle w:val="8"/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，财政部 税务总局公告2023年第12号，财政部 税务总局 住房城乡建设部公告2023年第70号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1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地方教育附加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缴入地方国库</w:t>
            </w:r>
          </w:p>
        </w:tc>
        <w:tc>
          <w:tcPr>
            <w:tcW w:w="9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《</w:t>
            </w:r>
            <w:r>
              <w:rPr>
                <w:rStyle w:val="8"/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中华人民共和国</w:t>
            </w: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教育法》，财综〔2001〕58号，财综函〔2003〕2号、9号、10号、12号、13号、14号、15号、16号、18号，财综〔2004〕73号，财综函〔2005〕33号，财综〔2006〕2号、61号，财综函〔2006〕9号，财综函〔2007〕45号，财综〔2007〕53号，财综函〔2008〕7号，财综函〔2010〕2号、3号、7号、8号、11号、71号、72号、73号、75号、76号、78号、79号、80号，财综〔2010〕98号，财综函〔2011〕1号、2号、3号、4号、5号、6号、7号、8号、9号、10号、11号、12号、13号、15号、16号、17号、57号，财综〔20</w:t>
            </w:r>
            <w:r>
              <w:rPr>
                <w:rStyle w:val="8"/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15</w:t>
            </w: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〕5</w:t>
            </w:r>
            <w:r>
              <w:rPr>
                <w:rStyle w:val="8"/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7</w:t>
            </w: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号，财税〔2016〕12号，财税〔2018〕70号，财税〔2019〕13号，财税〔2019〕21号，财税〔2019〕22号，财税〔2019〕46号，云政规〔2021〕1号</w:t>
            </w:r>
            <w:r>
              <w:rPr>
                <w:rStyle w:val="8"/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，财政部 税务总局公告2023年第12号，财政部 税务总局 住房城乡建设部公告2023年第70号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文化事业建设费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缴入中央和地方国库</w:t>
            </w:r>
          </w:p>
        </w:tc>
        <w:tc>
          <w:tcPr>
            <w:tcW w:w="9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国发〔1996〕37号，国办发〔2006〕43号，财综〔2007〕3号，财综〔2013〕102号，财文字〔1997〕243号，财预字〔1996〕469号，财税〔2016〕25号，财税〔2016〕60号，财税〔2019〕46号，财政部2020年公告第25号，云财非税〔2019〕12号，财政部</w:t>
            </w:r>
            <w:r>
              <w:rPr>
                <w:rStyle w:val="8"/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税务总局公告2021年第7号</w:t>
            </w:r>
            <w:r>
              <w:rPr>
                <w:rStyle w:val="8"/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，财税〔2025〕7号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5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国家电影事业发展专项资金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缴入中央和地方国库</w:t>
            </w:r>
          </w:p>
        </w:tc>
        <w:tc>
          <w:tcPr>
            <w:tcW w:w="9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《电影管理条例》，国办发〔2006〕43号，财税〔2015〕91号，财教〔2016〕4号，云政办发〔2017〕118号，财税〔</w:t>
            </w:r>
            <w:r>
              <w:rPr>
                <w:rStyle w:val="8"/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2018</w:t>
            </w: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〕67号，财政部2020年公告第26号，云财非税〔2022〕9号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旅游发展基金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缴入中央国库</w:t>
            </w:r>
          </w:p>
        </w:tc>
        <w:tc>
          <w:tcPr>
            <w:tcW w:w="9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旅办发〔1991〕124号，财综〔2007〕3号，财综〔2010〕123号，财综〔201</w:t>
            </w:r>
            <w:r>
              <w:rPr>
                <w:rStyle w:val="8"/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2</w:t>
            </w: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〕17号，财税〔2015〕135号，财税〔2020〕72号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0" w:hRule="atLeast"/>
        </w:trPr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中央水库移民扶持基金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大中型水库移民后期扶持基金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缴入中央国库</w:t>
            </w:r>
          </w:p>
        </w:tc>
        <w:tc>
          <w:tcPr>
            <w:tcW w:w="9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《大中型水利水电工程建设征地补偿和移民安置条例》，《长江三峡工程建设移民条例》，国发〔2006〕17号，财综〔2006〕29号，财监〔2006〕95号，监察部、人事部、财政部令第13号，财综〔2007〕26号，财综〔2007〕69号，财综〔2008〕17号，财综〔2008〕29号、30号、31号、32号、33号、35号、64号、65号、66号、67号、68号、85号、86号、87号、88号、89号、90号，财综〔2009〕51号、59号，财综〔2010〕15号、16号、43号、113号，财综函〔2010〕10号、39号，财综〔2013〕103号，财税〔2015〕80号，财税〔2016〕11号，财税〔2016〕13号，财税〔2017〕51号，财办税〔2017〕60号，财农〔2017〕128号，财税〔2018〕147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跨省大中型水库库区基金</w:t>
            </w: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三峡水库库区基金</w:t>
            </w: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7" w:hRule="atLeast"/>
        </w:trPr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6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地方水库移民扶持基金</w:t>
            </w: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省级大中型水库库区基金</w:t>
            </w:r>
          </w:p>
        </w:tc>
        <w:tc>
          <w:tcPr>
            <w:tcW w:w="166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缴入地方国库</w:t>
            </w:r>
          </w:p>
        </w:tc>
        <w:tc>
          <w:tcPr>
            <w:tcW w:w="98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both"/>
              <w:textAlignment w:val="center"/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《大中型水利水电工程建设征地补偿和移民安置条例》，国发〔2006〕17号，财综〔2007〕26号，财综〔2008〕17号，财综〔2008〕29号、30号、31号、32号、33号、35号、64号、65号、66号、67号、68号、85号、86号、87号、88号、89号、90号，财综〔2009〕51号、59号，财综〔2010〕15号、16号、43号、113号，财综函〔2010〕10号、39号，财税〔2016〕11号，财税〔2016〕13号，财税〔2017〕18号，财政部 发展改革委公告2022年第5号</w:t>
            </w:r>
            <w:r>
              <w:rPr>
                <w:rStyle w:val="8"/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，</w:t>
            </w: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财税〔2020〕58号，</w:t>
            </w:r>
            <w:r>
              <w:rPr>
                <w:rStyle w:val="8"/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国家税务总局公告2020年第21号，财政部 国家发展改革委公告2023年第45号，</w:t>
            </w: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云财综〔2010〕24号</w:t>
            </w:r>
            <w:r>
              <w:rPr>
                <w:rStyle w:val="8"/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，《云</w:t>
            </w:r>
            <w:r>
              <w:rPr>
                <w:rStyle w:val="8"/>
                <w:rFonts w:hint="eastAsia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南</w:t>
            </w:r>
            <w:bookmarkStart w:id="0" w:name="_GoBack"/>
            <w:bookmarkEnd w:id="0"/>
            <w:r>
              <w:rPr>
                <w:rStyle w:val="8"/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省财政厅关于继续免征部分地方水库移民扶持基金的通知》（云财非税</w:t>
            </w: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〔20</w:t>
            </w:r>
            <w:r>
              <w:rPr>
                <w:rStyle w:val="8"/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24</w:t>
            </w: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〕</w:t>
            </w:r>
            <w:r>
              <w:rPr>
                <w:rStyle w:val="8"/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1</w:t>
            </w: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号</w:t>
            </w:r>
            <w:r>
              <w:rPr>
                <w:rStyle w:val="8"/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、玉财非税</w:t>
            </w: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〔20</w:t>
            </w:r>
            <w:r>
              <w:rPr>
                <w:rStyle w:val="8"/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24</w:t>
            </w: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〕</w:t>
            </w:r>
            <w:r>
              <w:rPr>
                <w:rStyle w:val="8"/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2</w:t>
            </w: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号</w:t>
            </w:r>
            <w:r>
              <w:rPr>
                <w:rStyle w:val="8"/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9" w:hRule="atLeast"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6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2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小型水库移民扶助基金</w:t>
            </w:r>
          </w:p>
        </w:tc>
        <w:tc>
          <w:tcPr>
            <w:tcW w:w="166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98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8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1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残疾人就业保障金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缴入地方国库</w:t>
            </w:r>
          </w:p>
        </w:tc>
        <w:tc>
          <w:tcPr>
            <w:tcW w:w="9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《残疾人就业条例》，财税〔2015〕72号，财综〔2001〕16号，财税〔2017〕18号，云财非税〔2017〕32号，财税〔2018〕39号</w:t>
            </w:r>
            <w:r>
              <w:rPr>
                <w:rStyle w:val="8"/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，</w:t>
            </w: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财政部公告2019年第98号，云财非税〔2020〕1号，云财非税函〔2020〕27号，财政部〔2023〕8号公告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森林植被恢复费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缴入中央和地方国库</w:t>
            </w:r>
          </w:p>
        </w:tc>
        <w:tc>
          <w:tcPr>
            <w:tcW w:w="9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《</w:t>
            </w:r>
            <w:r>
              <w:rPr>
                <w:rStyle w:val="8"/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中华人民共和国</w:t>
            </w: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森林法》，《</w:t>
            </w:r>
            <w:r>
              <w:rPr>
                <w:rStyle w:val="8"/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中华人民共和国</w:t>
            </w: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森林法实施条例》，财综〔2002〕73号，财税〔2015〕122号，</w:t>
            </w:r>
            <w:r>
              <w:rPr>
                <w:rStyle w:val="8"/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财税</w:t>
            </w: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〔20</w:t>
            </w:r>
            <w:r>
              <w:rPr>
                <w:rStyle w:val="8"/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22</w:t>
            </w: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〕</w:t>
            </w:r>
            <w:r>
              <w:rPr>
                <w:rStyle w:val="8"/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50</w:t>
            </w: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号</w:t>
            </w:r>
            <w:r>
              <w:rPr>
                <w:rStyle w:val="8"/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，财税</w:t>
            </w: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〔20</w:t>
            </w:r>
            <w:r>
              <w:rPr>
                <w:rStyle w:val="8"/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23</w:t>
            </w: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〕</w:t>
            </w:r>
            <w:r>
              <w:rPr>
                <w:rStyle w:val="8"/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9</w:t>
            </w: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号</w:t>
            </w:r>
            <w:r>
              <w:rPr>
                <w:rStyle w:val="8"/>
                <w:rFonts w:hint="eastAsia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，</w:t>
            </w: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云财字〔2003〕21号，云财非税〔2020〕2号，云财规〔2022〕16号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1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可再生能源发展基金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缴入中央国库</w:t>
            </w:r>
          </w:p>
        </w:tc>
        <w:tc>
          <w:tcPr>
            <w:tcW w:w="9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《可再生能源法》，财综〔2011〕115号，财建〔2012〕102号，财综〔2013〕89号，财综〔2013〕103号，财税〔2016〕4号，财办税〔2015〕4号，财税〔2018〕147号，财建〔2020〕4号，财建〔2020〕5号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7" w:hRule="atLeast"/>
        </w:trPr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189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废弃电器电子产品处理基金</w:t>
            </w:r>
          </w:p>
        </w:tc>
        <w:tc>
          <w:tcPr>
            <w:tcW w:w="16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jc w:val="left"/>
              <w:textAlignment w:val="center"/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缴入中央国库</w:t>
            </w:r>
          </w:p>
        </w:tc>
        <w:tc>
          <w:tcPr>
            <w:tcW w:w="9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center"/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</w:pPr>
            <w:r>
              <w:rPr>
                <w:rStyle w:val="8"/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z w:val="21"/>
                <w:szCs w:val="21"/>
                <w:lang w:val="en-US" w:eastAsia="zh-CN" w:bidi="ar"/>
              </w:rPr>
              <w:t>《废弃电器电子产品回收处理管理条例》，财综〔2012〕34号，财综〔2012〕48号，财综〔2012〕80号，财综〔2013〕32号，财综〔2013〕109号，财综〔2013〕110号，财综〔2014〕45号、财税〔2015〕81号，财政部公告2014年第29号，财政部公告2015年第91号，国家税务总局公告2012年第41号，海关总署公告2012年第33号，财税〔2021〕10号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default" w:ascii="Times New Roman" w:hAnsi="Times New Roman" w:eastAsia="方正仿宋_GBK" w:cs="Times New Roman"/>
          <w:sz w:val="21"/>
          <w:szCs w:val="21"/>
        </w:rPr>
        <w:sectPr>
          <w:footerReference r:id="rId3" w:type="default"/>
          <w:footerReference r:id="rId4" w:type="even"/>
          <w:pgSz w:w="16838" w:h="11906" w:orient="landscape"/>
          <w:pgMar w:top="1587" w:right="1474" w:bottom="1304" w:left="1587" w:header="1361" w:footer="1191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0" w:num="1"/>
          <w:rtlGutter w:val="0"/>
          <w:docGrid w:type="lines" w:linePitch="312" w:charSpace="0"/>
        </w:sect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39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39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ind w:firstLine="280" w:firstLineChars="100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38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MFE50yAgAAYwQAAA4AAABkcnMvZTJvRG9jLnhtbK1UzY7TMBC+I/EO&#10;lu80aYFV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IwUTn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ind w:firstLine="280" w:firstLineChars="100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38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C62C8E"/>
    <w:rsid w:val="4C127AA3"/>
    <w:rsid w:val="63C62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</w:rPr>
  </w:style>
  <w:style w:type="paragraph" w:styleId="2">
    <w:name w:val="heading 3"/>
    <w:basedOn w:val="1"/>
    <w:next w:val="1"/>
    <w:semiHidden/>
    <w:unhideWhenUsed/>
    <w:qFormat/>
    <w:uiPriority w:val="0"/>
    <w:pPr>
      <w:keepNext/>
      <w:keepLines/>
      <w:widowControl w:val="0"/>
      <w:spacing w:before="260" w:beforeLines="0" w:beforeAutospacing="0" w:after="260" w:afterLines="0" w:afterAutospacing="0" w:line="413" w:lineRule="auto"/>
      <w:outlineLvl w:val="2"/>
    </w:pPr>
    <w:rPr>
      <w:rFonts w:asciiTheme="minorHAnsi" w:hAnsiTheme="minorHAnsi" w:eastAsiaTheme="minorEastAsia" w:cstheme="minorBidi"/>
      <w:b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24"/>
      <w:lang w:val="en-US" w:eastAsia="zh-CN" w:bidi="ar-SA"/>
    </w:rPr>
  </w:style>
  <w:style w:type="character" w:customStyle="1" w:styleId="6">
    <w:name w:val="font21"/>
    <w:basedOn w:val="5"/>
    <w:qFormat/>
    <w:uiPriority w:val="0"/>
    <w:rPr>
      <w:rFonts w:hint="eastAsia" w:ascii="宋体" w:hAnsi="宋体" w:eastAsia="宋体" w:cs="宋体"/>
      <w:b/>
      <w:color w:val="000000"/>
      <w:sz w:val="44"/>
      <w:szCs w:val="44"/>
      <w:u w:val="none"/>
    </w:rPr>
  </w:style>
  <w:style w:type="character" w:customStyle="1" w:styleId="7">
    <w:name w:val="font251"/>
    <w:basedOn w:val="5"/>
    <w:qFormat/>
    <w:uiPriority w:val="0"/>
    <w:rPr>
      <w:rFonts w:ascii="方正仿宋_GBK" w:hAnsi="方正仿宋_GBK" w:eastAsia="方正仿宋_GBK" w:cs="方正仿宋_GBK"/>
      <w:b/>
      <w:color w:val="000000"/>
      <w:sz w:val="24"/>
      <w:szCs w:val="24"/>
      <w:u w:val="none"/>
    </w:rPr>
  </w:style>
  <w:style w:type="character" w:customStyle="1" w:styleId="8">
    <w:name w:val="font161"/>
    <w:basedOn w:val="5"/>
    <w:qFormat/>
    <w:uiPriority w:val="0"/>
    <w:rPr>
      <w:rFonts w:hint="eastAsia" w:ascii="方正仿宋_GBK" w:hAnsi="方正仿宋_GBK" w:eastAsia="方正仿宋_GBK" w:cs="方正仿宋_GBK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玉溪市澄江县党政机关单位</Company>
  <Pages>4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2025-11-03T09:14:00Z</dcterms:created>
  <dc:creator>d'g'j</dc:creator>
  <cp:lastModifiedBy>Administrator</cp:lastModifiedBy>
  <dcterms:modified xsi:type="dcterms:W3CDTF">2025-11-07T01:29:55Z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A6AF07FEF0F54BADBC033ED02AD2E31F_11</vt:lpwstr>
  </property>
</Properties>
</file>